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8949CF"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8949CF">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7AAC6FEA" w14:textId="77777777" w:rsidR="00DF6459" w:rsidRDefault="00DF6459" w:rsidP="00DF6459">
      <w:pPr>
        <w:jc w:val="center"/>
        <w:rPr>
          <w:rFonts w:ascii="Arial Narrow" w:hAnsi="Arial Narrow"/>
          <w:sz w:val="28"/>
          <w:szCs w:val="28"/>
        </w:rPr>
      </w:pPr>
      <w:r w:rsidRPr="00202CAF">
        <w:rPr>
          <w:rFonts w:ascii="Arial Narrow" w:hAnsi="Arial Narrow"/>
          <w:sz w:val="28"/>
          <w:szCs w:val="28"/>
        </w:rPr>
        <w:t>Opération relative au raccrochage des salles 52, 53 et 54 du Musée d’Orsay dédiées aux Arts Décoratifs</w:t>
      </w:r>
    </w:p>
    <w:p w14:paraId="444E621D" w14:textId="77777777" w:rsidR="00DF6459" w:rsidRPr="003E63FD" w:rsidRDefault="00DF6459" w:rsidP="00DF6459">
      <w:pPr>
        <w:jc w:val="center"/>
        <w:rPr>
          <w:rFonts w:ascii="Arial Narrow" w:hAnsi="Arial Narrow"/>
          <w:sz w:val="28"/>
          <w:szCs w:val="28"/>
        </w:rPr>
      </w:pPr>
      <w:r>
        <w:rPr>
          <w:rFonts w:ascii="Arial Narrow" w:hAnsi="Arial Narrow"/>
          <w:sz w:val="28"/>
          <w:szCs w:val="28"/>
        </w:rPr>
        <w:t xml:space="preserve">Lot 2 – Second œuvre – agencement </w:t>
      </w:r>
    </w:p>
    <w:p w14:paraId="0E16C0FD" w14:textId="77777777" w:rsidR="00DF6459" w:rsidRPr="003E63FD" w:rsidRDefault="00DF6459" w:rsidP="00DF6459">
      <w:pPr>
        <w:pStyle w:val="En-tte"/>
        <w:tabs>
          <w:tab w:val="clear" w:pos="4536"/>
          <w:tab w:val="clear" w:pos="9072"/>
        </w:tabs>
        <w:spacing w:after="160" w:line="259" w:lineRule="auto"/>
        <w:rPr>
          <w:rFonts w:ascii="Arial Narrow" w:hAnsi="Arial Narrow"/>
        </w:rPr>
      </w:pPr>
    </w:p>
    <w:p w14:paraId="492D7B6D" w14:textId="43E7DA06" w:rsidR="00A02B17" w:rsidRPr="00DF6459" w:rsidRDefault="00DF6459" w:rsidP="00DF6459">
      <w:pPr>
        <w:pStyle w:val="En-tte"/>
        <w:tabs>
          <w:tab w:val="clear" w:pos="4536"/>
          <w:tab w:val="clear" w:pos="9072"/>
        </w:tabs>
        <w:spacing w:after="160" w:line="259" w:lineRule="auto"/>
        <w:jc w:val="center"/>
        <w:rPr>
          <w:rFonts w:ascii="Arial Narrow" w:hAnsi="Arial Narrow"/>
          <w:sz w:val="28"/>
          <w:szCs w:val="28"/>
        </w:rPr>
      </w:pPr>
      <w:r w:rsidRPr="008C6195">
        <w:rPr>
          <w:rFonts w:ascii="Arial Narrow" w:hAnsi="Arial Narrow"/>
          <w:sz w:val="28"/>
          <w:szCs w:val="28"/>
        </w:rPr>
        <w:t>N</w:t>
      </w:r>
      <w:r w:rsidRPr="00A16907">
        <w:rPr>
          <w:rFonts w:ascii="Arial Narrow" w:hAnsi="Arial Narrow"/>
          <w:sz w:val="28"/>
          <w:szCs w:val="28"/>
        </w:rPr>
        <w:t>°2025-376</w:t>
      </w: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6624D95A"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-TVX</w:t>
            </w:r>
          </w:p>
          <w:p w14:paraId="7ACFE896" w14:textId="1ECE9877"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F6459">
                  <w:rPr>
                    <w:rFonts w:ascii="Arial Narrow" w:hAnsi="Arial Narrow"/>
                  </w:rPr>
                  <w:t>- Procédure adaptée ouverte en application des dispositions des articles L. 2123-1 et R. 2123-1 à R. 2123-7 du code de la commande publique</w:t>
                </w:r>
              </w:sdtContent>
            </w:sdt>
          </w:p>
          <w:p w14:paraId="151AC878" w14:textId="57367717"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F645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14AF4DF" w14:textId="5414C0FA" w:rsidR="00EF2CB7" w:rsidRDefault="002218A3" w:rsidP="007221BF">
      <w:pPr>
        <w:pStyle w:val="En-tte"/>
        <w:tabs>
          <w:tab w:val="clear" w:pos="4536"/>
          <w:tab w:val="clear" w:pos="9072"/>
        </w:tabs>
        <w:spacing w:after="120" w:line="360" w:lineRule="auto"/>
        <w:jc w:val="both"/>
        <w:rPr>
          <w:rFonts w:ascii="Arial Narrow" w:hAnsi="Arial Narrow"/>
        </w:rPr>
      </w:pPr>
      <w:r w:rsidRPr="002218A3">
        <w:rPr>
          <w:rFonts w:ascii="Arial Narrow" w:hAnsi="Arial Narrow"/>
        </w:rPr>
        <w:t xml:space="preserve">Le présent </w:t>
      </w:r>
      <w:r>
        <w:rPr>
          <w:rFonts w:ascii="Arial Narrow" w:hAnsi="Arial Narrow"/>
        </w:rPr>
        <w:t>marché</w:t>
      </w:r>
      <w:r w:rsidRPr="002218A3">
        <w:rPr>
          <w:rFonts w:ascii="Arial Narrow" w:hAnsi="Arial Narrow"/>
        </w:rPr>
        <w:t xml:space="preserve"> a pour objet la réalisation des travaux d’aménagement dans le cadre du projet de Raccrochage des salles 52, 53 et 54 du Musée d’Orsay dédiées aux Arts Décoratifs.</w:t>
      </w:r>
    </w:p>
    <w:p w14:paraId="3B3C1F59" w14:textId="77777777" w:rsidR="002218A3" w:rsidRDefault="002218A3"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672340DD"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5339BAE4"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8949CF">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195B7EC0"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w:t>
      </w:r>
      <w:r w:rsidR="008949CF">
        <w:rPr>
          <w:rFonts w:ascii="Arial Narrow" w:hAnsi="Arial Narrow"/>
          <w:b/>
        </w:rPr>
        <w:t>EPMO-VGE</w:t>
      </w:r>
    </w:p>
    <w:p w14:paraId="4E64DA80" w14:textId="75ACF7AC"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w:t>
      </w:r>
      <w:r w:rsidR="00BF79A7">
        <w:rPr>
          <w:rFonts w:ascii="Arial Narrow" w:hAnsi="Arial Narrow"/>
        </w:rPr>
        <w:t xml:space="preserve">ant dûment habilité à cet effet. </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73DC4AD8"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8949CF">
        <w:rPr>
          <w:rFonts w:ascii="Arial Narrow" w:hAnsi="Arial Narrow"/>
        </w:rPr>
        <w:t>EPMO-VGE</w:t>
      </w:r>
      <w:r w:rsidR="00376A8E" w:rsidRPr="00546FE0">
        <w:rPr>
          <w:rFonts w:ascii="Arial Narrow" w:hAnsi="Arial Narrow"/>
        </w:rPr>
        <w:t>.</w:t>
      </w:r>
    </w:p>
    <w:p w14:paraId="0ED6C943" w14:textId="23052DFA"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8949CF">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8949CF">
        <w:rPr>
          <w:rFonts w:ascii="Arial Narrow" w:hAnsi="Arial Narrow"/>
        </w:rPr>
        <w:t>EPMO-VGE</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61CD2A7E" w14:textId="36712F2B" w:rsidR="005625C3" w:rsidRDefault="005625C3" w:rsidP="00DC2FA3">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383FE054" w14:textId="6177D36F" w:rsidR="001A38BC" w:rsidRPr="00580101" w:rsidRDefault="00C4447F" w:rsidP="001A38BC">
      <w:pPr>
        <w:pStyle w:val="En-tte"/>
        <w:spacing w:after="120" w:line="360" w:lineRule="auto"/>
        <w:jc w:val="both"/>
        <w:rPr>
          <w:rFonts w:ascii="Arial Narrow" w:hAnsi="Arial Narrow"/>
        </w:rPr>
      </w:pPr>
      <w:r>
        <w:rPr>
          <w:rFonts w:ascii="Arial Narrow" w:hAnsi="Arial Narrow"/>
        </w:rPr>
        <w:t>Par dérogation à l’article 28.1 du CCAG-TVX, l</w:t>
      </w:r>
      <w:r w:rsidR="001A38BC" w:rsidRPr="00823E21">
        <w:rPr>
          <w:rFonts w:ascii="Arial Narrow" w:hAnsi="Arial Narrow"/>
        </w:rPr>
        <w:t xml:space="preserve">e présent marché public comporte une période de préparation </w:t>
      </w:r>
      <w:r w:rsidR="003B6591" w:rsidRPr="00823E21">
        <w:rPr>
          <w:rFonts w:ascii="Arial Narrow" w:hAnsi="Arial Narrow"/>
        </w:rPr>
        <w:t xml:space="preserve">d’une durée de </w:t>
      </w:r>
      <w:r>
        <w:rPr>
          <w:rFonts w:ascii="Arial Narrow" w:hAnsi="Arial Narrow"/>
        </w:rPr>
        <w:t>15 jours</w:t>
      </w:r>
      <w:r w:rsidR="0032637F" w:rsidRPr="00823E21">
        <w:rPr>
          <w:rFonts w:ascii="Arial Narrow" w:hAnsi="Arial Narrow"/>
        </w:rPr>
        <w:t xml:space="preserve"> (cf. calendrier d’exécution)</w:t>
      </w:r>
      <w:r w:rsidR="003B6591" w:rsidRPr="00823E21">
        <w:rPr>
          <w:rFonts w:ascii="Arial Narrow" w:hAnsi="Arial Narrow"/>
        </w:rPr>
        <w:t xml:space="preserve">. </w:t>
      </w:r>
      <w:r w:rsidR="003B6591">
        <w:rPr>
          <w:rFonts w:ascii="Arial Narrow" w:hAnsi="Arial Narrow"/>
        </w:rPr>
        <w:t xml:space="preserve">Cette durée est incluse dans le délai global d’exécution du marché. </w:t>
      </w:r>
    </w:p>
    <w:p w14:paraId="058DB95B" w14:textId="6F49B20E" w:rsidR="001A38BC" w:rsidRPr="00580101" w:rsidRDefault="0032637F" w:rsidP="001A38BC">
      <w:pPr>
        <w:pStyle w:val="En-tte"/>
        <w:spacing w:after="120" w:line="360" w:lineRule="auto"/>
        <w:jc w:val="both"/>
        <w:rPr>
          <w:rFonts w:ascii="Arial Narrow" w:hAnsi="Arial Narrow"/>
        </w:rPr>
      </w:pPr>
      <w:r>
        <w:rPr>
          <w:rFonts w:ascii="Arial Narrow" w:hAnsi="Arial Narrow"/>
        </w:rPr>
        <w:t>L</w:t>
      </w:r>
      <w:r w:rsidR="001A38BC" w:rsidRPr="00580101">
        <w:rPr>
          <w:rFonts w:ascii="Arial Narrow" w:hAnsi="Arial Narrow"/>
        </w:rPr>
        <w:t xml:space="preserve">a période de préparation, ainsi que le démarrage du délai global d’exécution des travaux sont déclenchées par la notification </w:t>
      </w:r>
      <w:r w:rsidR="002F1E07">
        <w:rPr>
          <w:rFonts w:ascii="Arial Narrow" w:hAnsi="Arial Narrow"/>
        </w:rPr>
        <w:t xml:space="preserve">du présent marché. </w:t>
      </w:r>
      <w:bookmarkStart w:id="0" w:name="_GoBack"/>
      <w:bookmarkEnd w:id="0"/>
    </w:p>
    <w:p w14:paraId="01086448" w14:textId="3526FA77"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aux opérations énoncées à l’article 2.</w:t>
      </w:r>
      <w:r w:rsidR="001616A9">
        <w:rPr>
          <w:rFonts w:ascii="Arial Narrow" w:hAnsi="Arial Narrow"/>
        </w:rPr>
        <w:t>8</w:t>
      </w:r>
      <w:r w:rsidR="006C0230" w:rsidRPr="006C0230">
        <w:rPr>
          <w:rFonts w:ascii="Arial Narrow" w:hAnsi="Arial Narrow"/>
        </w:rPr>
        <w:t>.1 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w:t>
      </w:r>
      <w:r w:rsidRPr="00C4447F">
        <w:rPr>
          <w:rFonts w:ascii="Arial Narrow" w:hAnsi="Arial Narrow"/>
        </w:rPr>
        <w:t xml:space="preserve">l’article </w:t>
      </w:r>
      <w:r w:rsidR="00886615" w:rsidRPr="00C4447F">
        <w:rPr>
          <w:rFonts w:ascii="Arial Narrow" w:hAnsi="Arial Narrow"/>
        </w:rPr>
        <w:t>17</w:t>
      </w:r>
      <w:r w:rsidRPr="00C4447F">
        <w:rPr>
          <w:rFonts w:ascii="Arial Narrow" w:hAnsi="Arial Narrow"/>
        </w:rPr>
        <w:t xml:space="preserve"> du présent</w:t>
      </w:r>
      <w:r w:rsidRPr="00580101">
        <w:rPr>
          <w:rFonts w:ascii="Arial Narrow" w:hAnsi="Arial Narrow"/>
        </w:rPr>
        <w:t xml:space="preserve"> CCAP</w:t>
      </w:r>
      <w:r w:rsidRPr="00EE0297">
        <w:rPr>
          <w:rFonts w:ascii="Arial Narrow" w:hAnsi="Arial Narrow"/>
        </w:rPr>
        <w:t>.</w:t>
      </w:r>
    </w:p>
    <w:p w14:paraId="693FEEF0" w14:textId="40529F26"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65AA0811" w14:textId="1C9D7550" w:rsidR="00837E87" w:rsidRPr="00837E87" w:rsidRDefault="00837E87" w:rsidP="001616A9">
      <w:pPr>
        <w:pStyle w:val="En-tte"/>
        <w:spacing w:after="12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Pr>
          <w:rFonts w:ascii="Arial Narrow" w:hAnsi="Arial Narrow"/>
        </w:rPr>
        <w:t xml:space="preserve">notifié par OS en remplacement du calendrier prévisionnel </w:t>
      </w:r>
      <w:r w:rsidRPr="00837E87">
        <w:rPr>
          <w:rFonts w:ascii="Arial Narrow" w:hAnsi="Arial Narrow"/>
        </w:rPr>
        <w:t xml:space="preserve">permet la détermination des éventuels retards du titulaire dans l’exécution des travaux de son marché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éventuelle des pénalités prévues dans le présent CCAP. Dans l’attente de la notification du calendrier d’exécution détaillé, le</w:t>
      </w:r>
      <w:r w:rsidR="001616A9">
        <w:rPr>
          <w:rFonts w:ascii="Arial Narrow" w:hAnsi="Arial Narrow"/>
        </w:rPr>
        <w:t xml:space="preserve"> calendrier prévisionnel fourni</w:t>
      </w:r>
      <w:r w:rsidRPr="00837E87">
        <w:rPr>
          <w:rFonts w:ascii="Arial Narrow" w:hAnsi="Arial Narrow"/>
        </w:rPr>
        <w:t xml:space="preserve"> dans le DCE sert de base de calcul des pénalités de retard.</w:t>
      </w:r>
    </w:p>
    <w:p w14:paraId="6FB86A26" w14:textId="5C560645"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ordre de service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22B42A4D"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à l’article </w:t>
      </w:r>
      <w:r w:rsidR="002334E4">
        <w:rPr>
          <w:rFonts w:ascii="Arial Narrow" w:eastAsiaTheme="minorHAnsi" w:hAnsi="Arial Narrow" w:cstheme="minorBidi"/>
          <w:sz w:val="22"/>
          <w:szCs w:val="22"/>
        </w:rPr>
        <w:t>2.8.3</w:t>
      </w:r>
      <w:r w:rsidRPr="00AB26FC">
        <w:rPr>
          <w:rFonts w:ascii="Arial Narrow" w:eastAsiaTheme="minorHAnsi" w:hAnsi="Arial Narrow" w:cstheme="minorBidi"/>
          <w:color w:val="ED7D31" w:themeColor="accent2"/>
          <w:sz w:val="22"/>
          <w:szCs w:val="22"/>
        </w:rPr>
        <w:t xml:space="preserve"> </w:t>
      </w:r>
      <w:r>
        <w:rPr>
          <w:rFonts w:ascii="Arial Narrow" w:eastAsiaTheme="minorHAnsi" w:hAnsi="Arial Narrow" w:cstheme="minorBidi"/>
          <w:sz w:val="22"/>
          <w:szCs w:val="22"/>
        </w:rPr>
        <w:t xml:space="preserve">du CCTP. </w:t>
      </w:r>
      <w:r w:rsidR="001A38BC" w:rsidRPr="001A38BC">
        <w:rPr>
          <w:rFonts w:ascii="Arial Narrow" w:eastAsiaTheme="minorHAnsi" w:hAnsi="Arial Narrow" w:cstheme="minorBidi"/>
          <w:sz w:val="22"/>
          <w:szCs w:val="22"/>
        </w:rPr>
        <w:t xml:space="preserve"> </w:t>
      </w:r>
    </w:p>
    <w:p w14:paraId="753A690A" w14:textId="1B9CE7B6" w:rsidR="001A38BC" w:rsidRDefault="00B91C85" w:rsidP="00EE0297">
      <w:pPr>
        <w:pStyle w:val="En-tte"/>
        <w:tabs>
          <w:tab w:val="clear" w:pos="4536"/>
          <w:tab w:val="clear" w:pos="9072"/>
        </w:tabs>
        <w:spacing w:after="120" w:line="360" w:lineRule="auto"/>
        <w:jc w:val="both"/>
        <w:rPr>
          <w:rFonts w:ascii="Arial Narrow" w:hAnsi="Arial Narrow"/>
        </w:rPr>
      </w:pPr>
      <w:r>
        <w:rPr>
          <w:rFonts w:ascii="Arial Narrow" w:hAnsi="Arial Narrow"/>
        </w:rPr>
        <w:t>Par dérogation à l’article 28.1</w:t>
      </w:r>
      <w:r w:rsidR="001A38BC"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RECEPTION</w:t>
      </w:r>
      <w:r w:rsidR="0048725C">
        <w:rPr>
          <w:rFonts w:ascii="Arial Narrow" w:hAnsi="Arial Narrow"/>
          <w:b/>
        </w:rPr>
        <w:t xml:space="preserve"> ET LEVEE DES RESERVES</w:t>
      </w:r>
    </w:p>
    <w:p w14:paraId="5919A5A7" w14:textId="77BFD6F0" w:rsidR="0002039E" w:rsidRPr="0002039E" w:rsidRDefault="0002039E" w:rsidP="00D127EF">
      <w:pPr>
        <w:pStyle w:val="5Articlenormal"/>
        <w:numPr>
          <w:ilvl w:val="1"/>
          <w:numId w:val="41"/>
        </w:numPr>
      </w:pPr>
      <w:r w:rsidRPr="0002039E">
        <w:t xml:space="preserve">Réception </w:t>
      </w:r>
    </w:p>
    <w:p w14:paraId="6FAB77DD" w14:textId="088DFAF1" w:rsidR="0002039E" w:rsidRDefault="0002039E" w:rsidP="00D127EF">
      <w:pPr>
        <w:pStyle w:val="5Articlenormal"/>
      </w:pPr>
    </w:p>
    <w:p w14:paraId="72D0E1BD" w14:textId="30A653EB" w:rsidR="0002039E" w:rsidRDefault="00891111" w:rsidP="00D127EF">
      <w:pPr>
        <w:pStyle w:val="5Articlenormal"/>
      </w:pPr>
      <w:r>
        <w:t>7</w:t>
      </w:r>
      <w:r w:rsidR="0002039E" w:rsidRPr="0002039E">
        <w:t>.1.1 Opérations préalables à la réception</w:t>
      </w:r>
    </w:p>
    <w:p w14:paraId="785A6885" w14:textId="18B4D4A3" w:rsidR="0002039E" w:rsidRPr="00D127EF" w:rsidRDefault="0002039E" w:rsidP="00D127EF">
      <w:pPr>
        <w:pStyle w:val="En-tte"/>
        <w:tabs>
          <w:tab w:val="clear" w:pos="4536"/>
          <w:tab w:val="clear" w:pos="9072"/>
        </w:tabs>
        <w:spacing w:before="160" w:after="120" w:line="360" w:lineRule="auto"/>
        <w:jc w:val="both"/>
        <w:rPr>
          <w:rFonts w:ascii="Arial Narrow" w:hAnsi="Arial Narrow"/>
        </w:rPr>
      </w:pPr>
      <w:r w:rsidRPr="00D127EF">
        <w:rPr>
          <w:rFonts w:ascii="Arial Narrow" w:hAnsi="Arial Narrow"/>
        </w:rPr>
        <w:t>Le Titulaire avise à la fois, le maitre d’ouvrage et le maître d’œuvre, par écrit, de la date à laquelle il estime que les travaux seront achevés. La date d’achèvement des travaux doit être conforme à celle précisée dans le planning prévisionnel qui sera rendu contractuel à la notification du marché.</w:t>
      </w:r>
    </w:p>
    <w:p w14:paraId="3F68AD74" w14:textId="77777777" w:rsidR="0002039E" w:rsidRPr="00D127EF" w:rsidRDefault="0002039E" w:rsidP="00D127EF">
      <w:pPr>
        <w:pStyle w:val="En-tte"/>
        <w:tabs>
          <w:tab w:val="clear" w:pos="4536"/>
          <w:tab w:val="clear" w:pos="9072"/>
        </w:tabs>
        <w:spacing w:before="160" w:after="120" w:line="360" w:lineRule="auto"/>
        <w:jc w:val="both"/>
        <w:rPr>
          <w:rFonts w:ascii="Arial Narrow" w:hAnsi="Arial Narrow"/>
        </w:rPr>
      </w:pPr>
      <w:r w:rsidRPr="00D127EF">
        <w:rPr>
          <w:rFonts w:ascii="Arial Narrow" w:hAnsi="Arial Narrow"/>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D127EF" w:rsidRDefault="0002039E" w:rsidP="00D127EF">
      <w:pPr>
        <w:pStyle w:val="En-tte"/>
        <w:tabs>
          <w:tab w:val="clear" w:pos="4536"/>
          <w:tab w:val="clear" w:pos="9072"/>
        </w:tabs>
        <w:spacing w:before="160" w:after="120" w:line="360" w:lineRule="auto"/>
        <w:jc w:val="both"/>
        <w:rPr>
          <w:rFonts w:ascii="Arial Narrow" w:hAnsi="Arial Narrow"/>
        </w:rPr>
      </w:pPr>
      <w:r w:rsidRPr="00D127EF">
        <w:rPr>
          <w:rFonts w:ascii="Arial Narrow" w:hAnsi="Arial Narrow"/>
        </w:rPr>
        <w:t>En cas d’absence du titulaire à ces opérations, il en est fait mention au procès-verbal qui lui est notifié.</w:t>
      </w:r>
    </w:p>
    <w:p w14:paraId="14C4BF46" w14:textId="77777777" w:rsidR="0002039E" w:rsidRPr="0002039E" w:rsidRDefault="0002039E" w:rsidP="005F0AA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5F0AAC">
      <w:pPr>
        <w:pStyle w:val="En-tte"/>
        <w:numPr>
          <w:ilvl w:val="0"/>
          <w:numId w:val="26"/>
        </w:numPr>
        <w:tabs>
          <w:tab w:val="clear" w:pos="4536"/>
          <w:tab w:val="clear" w:pos="9072"/>
        </w:tabs>
        <w:spacing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211082D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Postérieurement 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Pr>
          <w:rFonts w:ascii="Arial Narrow" w:hAnsi="Arial Narrow"/>
        </w:rPr>
        <w:t>roposé d’assortir la réception.</w:t>
      </w:r>
    </w:p>
    <w:p w14:paraId="652FE7C1" w14:textId="1F6D5508" w:rsidR="0002039E" w:rsidRPr="0002039E" w:rsidRDefault="001F4A59" w:rsidP="0002039E">
      <w:pPr>
        <w:pStyle w:val="En-tte"/>
        <w:tabs>
          <w:tab w:val="clear" w:pos="4536"/>
          <w:tab w:val="clear" w:pos="9072"/>
        </w:tabs>
        <w:spacing w:before="160" w:line="360" w:lineRule="auto"/>
        <w:jc w:val="both"/>
        <w:rPr>
          <w:rFonts w:ascii="Arial Narrow" w:hAnsi="Arial Narrow"/>
          <w:b/>
        </w:rPr>
      </w:pPr>
      <w:r>
        <w:rPr>
          <w:rFonts w:ascii="Arial Narrow" w:hAnsi="Arial Narrow"/>
          <w:b/>
        </w:rPr>
        <w:t>7</w:t>
      </w:r>
      <w:r w:rsidR="0002039E" w:rsidRPr="0002039E">
        <w:rPr>
          <w:rFonts w:ascii="Arial Narrow" w:hAnsi="Arial Narrow"/>
          <w:b/>
        </w:rPr>
        <w:t>.1.2 Réception de l’</w:t>
      </w:r>
      <w:r w:rsidR="0002039E">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26820CBB" w:rsid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662F20A6" w14:textId="77777777" w:rsidR="001F4A59" w:rsidRPr="0002039E" w:rsidRDefault="001F4A59" w:rsidP="0002039E">
      <w:pPr>
        <w:pStyle w:val="En-tte"/>
        <w:tabs>
          <w:tab w:val="clear" w:pos="4536"/>
          <w:tab w:val="clear" w:pos="9072"/>
        </w:tabs>
        <w:spacing w:before="160" w:line="360" w:lineRule="auto"/>
        <w:jc w:val="both"/>
        <w:rPr>
          <w:rFonts w:ascii="Arial Narrow" w:hAnsi="Arial Narrow"/>
        </w:rPr>
      </w:pPr>
    </w:p>
    <w:p w14:paraId="091CF793" w14:textId="46608772" w:rsidR="0002039E" w:rsidRPr="0002039E" w:rsidRDefault="0002039E" w:rsidP="001F4A59">
      <w:pPr>
        <w:pStyle w:val="5Articlenormal"/>
        <w:numPr>
          <w:ilvl w:val="1"/>
          <w:numId w:val="41"/>
        </w:numPr>
      </w:pPr>
      <w:r w:rsidRPr="0002039E">
        <w:lastRenderedPageBreak/>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40BB544E"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1B9B6DAA" w:rsidR="00EE0297" w:rsidRPr="00EE0297" w:rsidRDefault="00EE0297" w:rsidP="001F4A59">
      <w:pPr>
        <w:pStyle w:val="ART-0"/>
        <w:spacing w:after="16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Dans le cadre de la garantie, le titulaire devra intervenir dans les quarante-huit (48) heures à compter de la réception de la demande formulée par le pouvoir adjudicateur. En cas de non-respect du délai d’intervention susmentionné, le pouvoir adjudicateur pourra faire procéder par un tiers à l’exécution des prestations aux frais et risques du titulaire après mise en demeure restée infructueuse.</w:t>
      </w:r>
    </w:p>
    <w:p w14:paraId="2A08847B" w14:textId="3C05A978"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lastRenderedPageBreak/>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38E51370" w:rsidR="00EE65EC" w:rsidRPr="00546FE0" w:rsidRDefault="00A00204"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Pr>
          <w:rFonts w:ascii="Arial Narrow" w:hAnsi="Arial Narrow"/>
          <w:b/>
        </w:rPr>
        <w:t>RESPONSABILITE SOCIETALE</w:t>
      </w:r>
    </w:p>
    <w:p w14:paraId="6D71A013" w14:textId="1B376626"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7079A1">
        <w:rPr>
          <w:rFonts w:ascii="Arial Narrow" w:hAnsi="Arial Narrow"/>
        </w:rPr>
        <w:t>5</w:t>
      </w:r>
      <w:r w:rsidRPr="00546FE0">
        <w:rPr>
          <w:rFonts w:ascii="Arial Narrow" w:hAnsi="Arial Narrow"/>
        </w:rPr>
        <w:t>-20</w:t>
      </w:r>
      <w:r w:rsidR="007079A1">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3B16FA61" w14:textId="77777777"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362B56E8" w14:textId="77777777"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prix </w:t>
      </w:r>
      <w:r w:rsidRPr="004F00ED">
        <w:rPr>
          <w:rFonts w:ascii="Arial Narrow" w:hAnsi="Arial Narrow"/>
        </w:rPr>
        <w:t xml:space="preserve">forfaitaires.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383A1BC7" w:rsidR="00524389" w:rsidRPr="009C6795" w:rsidRDefault="00495347" w:rsidP="00524389">
      <w:pPr>
        <w:pStyle w:val="Paragraphedeliste"/>
        <w:numPr>
          <w:ilvl w:val="0"/>
          <w:numId w:val="31"/>
        </w:numPr>
        <w:spacing w:before="160" w:after="0" w:line="360" w:lineRule="auto"/>
        <w:jc w:val="both"/>
        <w:rPr>
          <w:rFonts w:ascii="Arial Narrow" w:hAnsi="Arial Narrow"/>
        </w:rPr>
      </w:pPr>
      <w:r>
        <w:rPr>
          <w:rFonts w:ascii="Arial Narrow" w:hAnsi="Arial Narrow"/>
        </w:rPr>
        <w:t>E</w:t>
      </w:r>
      <w:r w:rsidR="00524389" w:rsidRPr="009C6795">
        <w:rPr>
          <w:rFonts w:ascii="Arial Narrow" w:hAnsi="Arial Narrow"/>
        </w:rPr>
        <w:t>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0010CBDF" w:rsidR="00524389" w:rsidRPr="00495347" w:rsidRDefault="00495347" w:rsidP="00495347">
      <w:pPr>
        <w:pStyle w:val="Paragraphedeliste"/>
        <w:numPr>
          <w:ilvl w:val="0"/>
          <w:numId w:val="31"/>
        </w:numPr>
        <w:spacing w:before="160" w:after="0" w:line="360" w:lineRule="auto"/>
        <w:jc w:val="both"/>
        <w:rPr>
          <w:rFonts w:ascii="Arial Narrow" w:hAnsi="Arial Narrow"/>
        </w:rPr>
      </w:pPr>
      <w:r>
        <w:rPr>
          <w:rFonts w:ascii="Arial Narrow" w:hAnsi="Arial Narrow"/>
        </w:rPr>
        <w:t>E</w:t>
      </w:r>
      <w:r w:rsidR="00524389" w:rsidRPr="00495347">
        <w:rPr>
          <w:rFonts w:ascii="Arial Narrow" w:hAnsi="Arial Narrow"/>
        </w:rPr>
        <w:t xml:space="preserve">n tenant compte des sujétions qu’est susceptible d’entraîner l’exécution simultanée des différents lots visés </w:t>
      </w:r>
      <w:r w:rsidR="00A24DDE" w:rsidRPr="00495347">
        <w:rPr>
          <w:rFonts w:ascii="Arial Narrow" w:hAnsi="Arial Narrow"/>
        </w:rPr>
        <w:t>à l’article 1</w:t>
      </w:r>
      <w:r w:rsidR="00524389" w:rsidRPr="00495347">
        <w:rPr>
          <w:rFonts w:ascii="Arial Narrow" w:hAnsi="Arial Narrow"/>
        </w:rPr>
        <w:t xml:space="preserve"> du présent CCAP ainsi que les interfaces liées à l’exécution des lots de l’opération globale ;</w:t>
      </w:r>
    </w:p>
    <w:p w14:paraId="3DD8F194" w14:textId="19AE3A38" w:rsidR="00524389" w:rsidRPr="009C6795" w:rsidRDefault="00495347" w:rsidP="00524389">
      <w:pPr>
        <w:pStyle w:val="Paragraphedeliste"/>
        <w:numPr>
          <w:ilvl w:val="0"/>
          <w:numId w:val="31"/>
        </w:numPr>
        <w:spacing w:before="160" w:after="0" w:line="360" w:lineRule="auto"/>
        <w:jc w:val="both"/>
        <w:rPr>
          <w:rFonts w:ascii="Arial Narrow" w:hAnsi="Arial Narrow"/>
        </w:rPr>
      </w:pPr>
      <w:r>
        <w:rPr>
          <w:rFonts w:ascii="Arial Narrow" w:hAnsi="Arial Narrow"/>
        </w:rPr>
        <w:t>E</w:t>
      </w:r>
      <w:r w:rsidR="00524389" w:rsidRPr="009C6795">
        <w:rPr>
          <w:rFonts w:ascii="Arial Narrow" w:hAnsi="Arial Narrow"/>
        </w:rPr>
        <w:t xml:space="preserve">n tenant compte des frais de coordination des études, des frais spéciaux ; </w:t>
      </w:r>
    </w:p>
    <w:p w14:paraId="46B88039" w14:textId="11C4C8BB" w:rsidR="00524389" w:rsidRPr="009C6795" w:rsidRDefault="00495347" w:rsidP="00524389">
      <w:pPr>
        <w:pStyle w:val="Paragraphedeliste"/>
        <w:numPr>
          <w:ilvl w:val="0"/>
          <w:numId w:val="31"/>
        </w:numPr>
        <w:spacing w:before="160" w:after="0" w:line="360" w:lineRule="auto"/>
        <w:jc w:val="both"/>
        <w:rPr>
          <w:rFonts w:ascii="Arial Narrow" w:hAnsi="Arial Narrow"/>
        </w:rPr>
      </w:pPr>
      <w:r>
        <w:rPr>
          <w:rFonts w:ascii="Arial Narrow" w:hAnsi="Arial Narrow"/>
        </w:rPr>
        <w:t>E</w:t>
      </w:r>
      <w:r w:rsidR="00524389" w:rsidRPr="009C6795">
        <w:rPr>
          <w:rFonts w:ascii="Arial Narrow" w:hAnsi="Arial Narrow"/>
        </w:rPr>
        <w:t>n tenant compte des sujétions ci-après :</w:t>
      </w:r>
    </w:p>
    <w:p w14:paraId="2F1BF329" w14:textId="2D58DB3B" w:rsidR="00524389" w:rsidRPr="009C6795" w:rsidRDefault="00524389" w:rsidP="00495347">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w:t>
      </w:r>
      <w:r w:rsidRPr="009C6795">
        <w:rPr>
          <w:rFonts w:ascii="Arial Narrow" w:hAnsi="Arial Narrow" w:cs="Arial"/>
        </w:rPr>
        <w:lastRenderedPageBreak/>
        <w:t>d'entrée et de sortie des ouvriers, l'emplacement du dépôt du matériel et des matériaux, l'enlèvement des gravats et autres et les livraisons,</w:t>
      </w:r>
    </w:p>
    <w:p w14:paraId="2A8D037A" w14:textId="06BD195A" w:rsidR="00524389" w:rsidRPr="00524389" w:rsidRDefault="00524389" w:rsidP="00495347">
      <w:pPr>
        <w:numPr>
          <w:ilvl w:val="0"/>
          <w:numId w:val="30"/>
        </w:numPr>
        <w:tabs>
          <w:tab w:val="clear" w:pos="360"/>
          <w:tab w:val="num" w:pos="900"/>
        </w:tabs>
        <w:spacing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2046FC" w:rsidRDefault="00524389" w:rsidP="002046FC">
      <w:pPr>
        <w:spacing w:before="160" w:after="0" w:line="360" w:lineRule="auto"/>
        <w:rPr>
          <w:rFonts w:ascii="Arial Narrow" w:hAnsi="Arial Narrow" w:cs="Arial"/>
        </w:rPr>
      </w:pPr>
      <w:r w:rsidRPr="002046FC">
        <w:rPr>
          <w:rFonts w:ascii="Arial Narrow" w:hAnsi="Arial Narrow" w:cs="Arial"/>
        </w:rPr>
        <w:t>De plus, les prix sont réputés comprendre, en complément des dispositions du CCTP et de l'article 9.1 du CCAG-Travaux :</w:t>
      </w:r>
    </w:p>
    <w:p w14:paraId="5A6177F4" w14:textId="77777777" w:rsidR="002046FC" w:rsidRDefault="00524389" w:rsidP="002046FC">
      <w:pPr>
        <w:pStyle w:val="En-tte"/>
        <w:numPr>
          <w:ilvl w:val="0"/>
          <w:numId w:val="31"/>
        </w:numPr>
        <w:spacing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59959427" w:rsidR="00524389" w:rsidRPr="002046FC" w:rsidRDefault="00524389" w:rsidP="002046FC">
      <w:pPr>
        <w:pStyle w:val="En-tte"/>
        <w:numPr>
          <w:ilvl w:val="0"/>
          <w:numId w:val="31"/>
        </w:numPr>
        <w:spacing w:line="360" w:lineRule="auto"/>
        <w:jc w:val="both"/>
        <w:rPr>
          <w:rFonts w:ascii="Arial Narrow" w:hAnsi="Arial Narrow"/>
        </w:rPr>
      </w:pPr>
      <w:r w:rsidRPr="002046FC">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2046FC">
      <w:pPr>
        <w:pStyle w:val="En-tte"/>
        <w:numPr>
          <w:ilvl w:val="0"/>
          <w:numId w:val="22"/>
        </w:numPr>
        <w:spacing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2046FC">
      <w:pPr>
        <w:pStyle w:val="En-tte"/>
        <w:numPr>
          <w:ilvl w:val="0"/>
          <w:numId w:val="22"/>
        </w:numPr>
        <w:spacing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2046FC">
      <w:pPr>
        <w:pStyle w:val="En-tte"/>
        <w:numPr>
          <w:ilvl w:val="0"/>
          <w:numId w:val="22"/>
        </w:numPr>
        <w:spacing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2046FC">
      <w:pPr>
        <w:pStyle w:val="En-tte"/>
        <w:numPr>
          <w:ilvl w:val="0"/>
          <w:numId w:val="22"/>
        </w:numPr>
        <w:spacing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2046FC">
      <w:pPr>
        <w:pStyle w:val="En-tte"/>
        <w:numPr>
          <w:ilvl w:val="0"/>
          <w:numId w:val="22"/>
        </w:numPr>
        <w:spacing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61EBA94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propre </w:t>
      </w:r>
      <w:r>
        <w:rPr>
          <w:rFonts w:ascii="Arial Narrow" w:hAnsi="Arial Narrow"/>
        </w:rPr>
        <w:t>à chaque</w:t>
      </w:r>
      <w:r w:rsidRPr="00524389">
        <w:rPr>
          <w:rFonts w:ascii="Arial Narrow" w:hAnsi="Arial Narrow"/>
        </w:rPr>
        <w:t xml:space="preserve"> lot,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NOC</w:t>
      </w:r>
      <w:r w:rsidRPr="00524389">
        <w:rPr>
          <w:rFonts w:ascii="Arial Narrow" w:hAnsi="Arial Narrow"/>
        </w:rPr>
        <w:t xml:space="preserve"> et au </w:t>
      </w:r>
      <w:r>
        <w:rPr>
          <w:rFonts w:ascii="Arial Narrow" w:hAnsi="Arial Narrow"/>
        </w:rPr>
        <w:t>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53BCABAA"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nettoyage conformément aux mentions, notamment au rythme</w:t>
      </w:r>
      <w:r w:rsidR="002046FC">
        <w:rPr>
          <w:rFonts w:ascii="Arial Narrow" w:hAnsi="Arial Narrow"/>
        </w:rPr>
        <w:t xml:space="preserve"> décrit </w:t>
      </w:r>
      <w:r w:rsidRPr="00524389">
        <w:rPr>
          <w:rFonts w:ascii="Arial Narrow" w:hAnsi="Arial Narrow"/>
        </w:rPr>
        <w:t xml:space="preserve">au </w:t>
      </w:r>
      <w:r w:rsidR="00F369DF">
        <w:rPr>
          <w:rFonts w:ascii="Arial Narrow" w:hAnsi="Arial Narrow"/>
        </w:rPr>
        <w:t>CCTP</w:t>
      </w:r>
      <w:r w:rsidRPr="00524389">
        <w:rPr>
          <w:rFonts w:ascii="Arial Narrow" w:hAnsi="Arial Narrow"/>
        </w:rPr>
        <w:t>;</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4E265B96"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w:t>
      </w:r>
      <w:r w:rsidR="008949CF">
        <w:rPr>
          <w:rFonts w:ascii="Arial Narrow" w:hAnsi="Arial Narrow"/>
        </w:rPr>
        <w:t>EPMO-VGE</w:t>
      </w:r>
      <w:r w:rsidRPr="00524389">
        <w:rPr>
          <w:rFonts w:ascii="Arial Narrow" w:hAnsi="Arial Narrow"/>
        </w:rPr>
        <w:t>.</w:t>
      </w:r>
    </w:p>
    <w:p w14:paraId="1FA3618A" w14:textId="7BE122FF" w:rsidR="00B42ED3" w:rsidRPr="00546FE0" w:rsidRDefault="000D06AD" w:rsidP="00051022">
      <w:pPr>
        <w:pStyle w:val="En-tte"/>
        <w:spacing w:after="120" w:line="360" w:lineRule="auto"/>
        <w:jc w:val="both"/>
        <w:rPr>
          <w:rFonts w:ascii="Arial Narrow" w:hAnsi="Arial Narrow"/>
          <w:i/>
          <w:color w:val="ED7D31" w:themeColor="accent2"/>
        </w:rPr>
      </w:pPr>
      <w:r w:rsidRPr="00051022">
        <w:rPr>
          <w:rFonts w:ascii="Arial Narrow" w:hAnsi="Arial Narrow"/>
        </w:rPr>
        <w:t xml:space="preserve">Les prix </w:t>
      </w:r>
      <w:r w:rsidR="00B42ED3" w:rsidRPr="00051022">
        <w:rPr>
          <w:rFonts w:ascii="Arial Narrow" w:hAnsi="Arial Narrow"/>
        </w:rPr>
        <w:t>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w:t>
      </w:r>
      <w:r w:rsidR="00B42ED3" w:rsidRPr="00546FE0">
        <w:rPr>
          <w:rFonts w:ascii="Arial Narrow" w:hAnsi="Arial Narrow"/>
        </w:rPr>
        <w:t xml:space="preserve"> </w:t>
      </w:r>
    </w:p>
    <w:p w14:paraId="37FB0453" w14:textId="09D04092" w:rsidR="003E6575" w:rsidRPr="00051022" w:rsidRDefault="003E6575" w:rsidP="003E6575">
      <w:pPr>
        <w:pStyle w:val="En-tte"/>
        <w:spacing w:after="120" w:line="360" w:lineRule="auto"/>
        <w:rPr>
          <w:rFonts w:ascii="Arial Narrow" w:hAnsi="Arial Narrow"/>
          <w:lang w:val="en-US"/>
        </w:rPr>
      </w:pPr>
      <w:r w:rsidRPr="00051022">
        <w:rPr>
          <w:rFonts w:ascii="Arial Narrow" w:hAnsi="Arial Narrow"/>
          <w:lang w:val="en-US"/>
        </w:rPr>
        <w:t xml:space="preserve">P = Po * </w:t>
      </w:r>
      <w:r w:rsidR="004F00ED" w:rsidRPr="00051022">
        <w:rPr>
          <w:rFonts w:ascii="Arial Narrow" w:hAnsi="Arial Narrow"/>
          <w:lang w:val="en-US"/>
        </w:rPr>
        <w:t>(BT</w:t>
      </w:r>
      <w:r w:rsidR="00051022" w:rsidRPr="00051022">
        <w:rPr>
          <w:rFonts w:ascii="Arial Narrow" w:hAnsi="Arial Narrow"/>
          <w:lang w:val="en-US"/>
        </w:rPr>
        <w:t>01</w:t>
      </w:r>
      <w:r w:rsidRPr="00051022">
        <w:rPr>
          <w:rFonts w:ascii="Arial Narrow" w:hAnsi="Arial Narrow"/>
          <w:lang w:val="en-US"/>
        </w:rPr>
        <w:t xml:space="preserve">/ </w:t>
      </w:r>
      <w:r w:rsidR="004F00ED" w:rsidRPr="00051022">
        <w:rPr>
          <w:rFonts w:ascii="Arial Narrow" w:hAnsi="Arial Narrow"/>
          <w:lang w:val="en-US"/>
        </w:rPr>
        <w:t>BT</w:t>
      </w:r>
      <w:r w:rsidR="00051022" w:rsidRPr="00051022">
        <w:rPr>
          <w:rFonts w:ascii="Arial Narrow" w:hAnsi="Arial Narrow"/>
          <w:lang w:val="en-US"/>
        </w:rPr>
        <w:t>01</w:t>
      </w:r>
      <w:r w:rsidRPr="00051022">
        <w:rPr>
          <w:rFonts w:ascii="Arial Narrow" w:hAnsi="Arial Narrow"/>
          <w:lang w:val="en-US"/>
        </w:rPr>
        <w:t>-No)]</w:t>
      </w:r>
    </w:p>
    <w:p w14:paraId="33E1B3CD" w14:textId="73D4669F" w:rsidR="003E6575" w:rsidRPr="00051022" w:rsidRDefault="003E6575" w:rsidP="003E6575">
      <w:pPr>
        <w:pStyle w:val="En-tte"/>
        <w:spacing w:after="120" w:line="360" w:lineRule="auto"/>
        <w:rPr>
          <w:rFonts w:ascii="Arial Narrow" w:hAnsi="Arial Narrow"/>
        </w:rPr>
      </w:pPr>
      <w:r w:rsidRPr="00051022">
        <w:rPr>
          <w:rFonts w:ascii="Arial Narrow" w:hAnsi="Arial Narrow"/>
        </w:rPr>
        <w:t>B</w:t>
      </w:r>
      <w:r w:rsidR="000C6DA8" w:rsidRPr="00051022">
        <w:rPr>
          <w:rFonts w:ascii="Arial Narrow" w:hAnsi="Arial Narrow"/>
        </w:rPr>
        <w:t>T</w:t>
      </w:r>
      <w:r w:rsidR="00051022" w:rsidRPr="00051022">
        <w:rPr>
          <w:rFonts w:ascii="Arial Narrow" w:hAnsi="Arial Narrow"/>
        </w:rPr>
        <w:t>01</w:t>
      </w:r>
      <w:r w:rsidR="003F34B3">
        <w:rPr>
          <w:rFonts w:ascii="Arial Narrow" w:hAnsi="Arial Narrow"/>
        </w:rPr>
        <w:t xml:space="preserve"> </w:t>
      </w:r>
      <w:r w:rsidRPr="00051022">
        <w:rPr>
          <w:rFonts w:ascii="Arial Narrow" w:hAnsi="Arial Narrow"/>
        </w:rPr>
        <w:t xml:space="preserve">= </w:t>
      </w:r>
      <w:r w:rsidR="00051022" w:rsidRPr="00051022">
        <w:rPr>
          <w:rFonts w:ascii="Arial Narrow" w:hAnsi="Arial Narrow"/>
        </w:rPr>
        <w:t>Tous corps d’état - Base 2010 - Identifiant 001710986</w:t>
      </w:r>
    </w:p>
    <w:p w14:paraId="74BB9C88" w14:textId="77777777" w:rsidR="003E6575" w:rsidRPr="00051022" w:rsidRDefault="003E6575" w:rsidP="003E6575">
      <w:pPr>
        <w:pStyle w:val="En-tte"/>
        <w:spacing w:after="120" w:line="360" w:lineRule="auto"/>
        <w:rPr>
          <w:rFonts w:ascii="Arial Narrow" w:hAnsi="Arial Narrow"/>
        </w:rPr>
      </w:pPr>
      <w:r w:rsidRPr="00051022">
        <w:rPr>
          <w:rFonts w:ascii="Arial Narrow" w:hAnsi="Arial Narrow"/>
        </w:rPr>
        <w:t>Dans laquelle :</w:t>
      </w:r>
    </w:p>
    <w:p w14:paraId="5C70FE2C" w14:textId="190A48C1" w:rsidR="003E6575" w:rsidRPr="00051022" w:rsidRDefault="003E6575" w:rsidP="003E6575">
      <w:pPr>
        <w:pStyle w:val="En-tte"/>
        <w:spacing w:after="120" w:line="360" w:lineRule="auto"/>
        <w:ind w:left="1560"/>
        <w:rPr>
          <w:rFonts w:ascii="Arial Narrow" w:hAnsi="Arial Narrow"/>
        </w:rPr>
      </w:pPr>
      <w:r w:rsidRPr="00051022">
        <w:rPr>
          <w:rFonts w:ascii="Arial Narrow" w:hAnsi="Arial Narrow"/>
        </w:rPr>
        <w:t>P : prix actualisé,</w:t>
      </w:r>
    </w:p>
    <w:p w14:paraId="75D3C60F" w14:textId="77777777" w:rsidR="003E6575" w:rsidRPr="00051022" w:rsidRDefault="003E6575" w:rsidP="003E6575">
      <w:pPr>
        <w:pStyle w:val="En-tte"/>
        <w:spacing w:after="120" w:line="360" w:lineRule="auto"/>
        <w:ind w:left="1560"/>
        <w:rPr>
          <w:rFonts w:ascii="Arial Narrow" w:hAnsi="Arial Narrow"/>
        </w:rPr>
      </w:pPr>
      <w:r w:rsidRPr="00051022">
        <w:rPr>
          <w:rFonts w:ascii="Arial Narrow" w:hAnsi="Arial Narrow"/>
        </w:rPr>
        <w:t>Po : prix au mois M0,</w:t>
      </w:r>
    </w:p>
    <w:p w14:paraId="586212C0" w14:textId="5411019C" w:rsidR="003E6575" w:rsidRPr="00051022" w:rsidRDefault="004F00ED" w:rsidP="003E6575">
      <w:pPr>
        <w:pStyle w:val="En-tte"/>
        <w:spacing w:after="120" w:line="360" w:lineRule="auto"/>
        <w:ind w:left="1560"/>
        <w:rPr>
          <w:rFonts w:ascii="Arial Narrow" w:hAnsi="Arial Narrow"/>
        </w:rPr>
      </w:pPr>
      <w:r w:rsidRPr="00051022">
        <w:rPr>
          <w:rFonts w:ascii="Arial Narrow" w:hAnsi="Arial Narrow"/>
        </w:rPr>
        <w:t>BT</w:t>
      </w:r>
      <w:r w:rsidR="00051022" w:rsidRPr="00051022">
        <w:rPr>
          <w:rFonts w:ascii="Arial Narrow" w:hAnsi="Arial Narrow"/>
        </w:rPr>
        <w:t>01</w:t>
      </w:r>
      <w:r w:rsidR="003E6575" w:rsidRPr="00051022">
        <w:rPr>
          <w:rFonts w:ascii="Arial Narrow" w:hAnsi="Arial Narrow"/>
        </w:rPr>
        <w:t xml:space="preserve"> : dernier indice BT</w:t>
      </w:r>
      <w:r w:rsidR="00051022" w:rsidRPr="00051022">
        <w:rPr>
          <w:rFonts w:ascii="Arial Narrow" w:hAnsi="Arial Narrow"/>
        </w:rPr>
        <w:t>01</w:t>
      </w:r>
      <w:r w:rsidRPr="00051022">
        <w:rPr>
          <w:rFonts w:ascii="Arial Narrow" w:hAnsi="Arial Narrow"/>
        </w:rPr>
        <w:t xml:space="preserve"> </w:t>
      </w:r>
      <w:r w:rsidR="003E6575" w:rsidRPr="00051022">
        <w:rPr>
          <w:rFonts w:ascii="Arial Narrow" w:hAnsi="Arial Narrow"/>
        </w:rPr>
        <w:t>connu à la date d’actualisation des prix,</w:t>
      </w:r>
    </w:p>
    <w:p w14:paraId="45763FC5" w14:textId="1541A515" w:rsidR="003E6575" w:rsidRPr="00051022" w:rsidRDefault="004F00ED" w:rsidP="003E6575">
      <w:pPr>
        <w:pStyle w:val="En-tte"/>
        <w:spacing w:after="120" w:line="360" w:lineRule="auto"/>
        <w:ind w:left="1560"/>
        <w:rPr>
          <w:rFonts w:ascii="Arial Narrow" w:hAnsi="Arial Narrow"/>
        </w:rPr>
      </w:pPr>
      <w:r w:rsidRPr="00051022">
        <w:rPr>
          <w:rFonts w:ascii="Arial Narrow" w:hAnsi="Arial Narrow"/>
        </w:rPr>
        <w:t>BT</w:t>
      </w:r>
      <w:r w:rsidR="00051022" w:rsidRPr="00051022">
        <w:rPr>
          <w:rFonts w:ascii="Arial Narrow" w:hAnsi="Arial Narrow"/>
        </w:rPr>
        <w:t>01-N</w:t>
      </w:r>
      <w:r w:rsidR="003E6575" w:rsidRPr="00051022">
        <w:rPr>
          <w:rFonts w:ascii="Arial Narrow" w:hAnsi="Arial Narrow"/>
        </w:rPr>
        <w:t>o : Indice BT</w:t>
      </w:r>
      <w:r w:rsidR="00051022" w:rsidRPr="00051022">
        <w:rPr>
          <w:rFonts w:ascii="Arial Narrow" w:hAnsi="Arial Narrow"/>
        </w:rPr>
        <w:t>01</w:t>
      </w:r>
      <w:r w:rsidRPr="00051022">
        <w:rPr>
          <w:rFonts w:ascii="Arial Narrow" w:hAnsi="Arial Narrow"/>
        </w:rPr>
        <w:t xml:space="preserve"> au mois M0-3.</w:t>
      </w:r>
    </w:p>
    <w:p w14:paraId="6479313F" w14:textId="77777777" w:rsidR="003E6575" w:rsidRPr="00546FE0" w:rsidRDefault="003E6575" w:rsidP="003E6575">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8631F12" w14:textId="1D9C951A" w:rsidR="003E6575" w:rsidRPr="00546FE0" w:rsidRDefault="007A0028" w:rsidP="003E6575">
      <w:pPr>
        <w:pStyle w:val="En-tte"/>
        <w:spacing w:after="120" w:line="360" w:lineRule="auto"/>
        <w:rPr>
          <w:rFonts w:ascii="Arial Narrow" w:hAnsi="Arial Narrow"/>
        </w:rPr>
      </w:pPr>
      <w:r w:rsidRPr="00051022">
        <w:rPr>
          <w:rFonts w:ascii="Arial Narrow" w:hAnsi="Arial Narrow"/>
        </w:rPr>
        <w:t>L’</w:t>
      </w:r>
      <w:r w:rsidR="003E6575" w:rsidRPr="00051022">
        <w:rPr>
          <w:rFonts w:ascii="Arial Narrow" w:hAnsi="Arial Narrow"/>
        </w:rPr>
        <w:t>actualisation</w:t>
      </w:r>
      <w:r w:rsidR="003E6575" w:rsidRPr="00546FE0">
        <w:rPr>
          <w:rFonts w:ascii="Arial Narrow" w:hAnsi="Arial Narrow"/>
        </w:rPr>
        <w:t xml:space="preserve"> des prix fera l’objet d’une vérification et d’une validation par l’</w:t>
      </w:r>
      <w:r w:rsidR="008949CF">
        <w:rPr>
          <w:rFonts w:ascii="Arial Narrow" w:hAnsi="Arial Narrow"/>
        </w:rPr>
        <w:t>EPMO-VGE</w:t>
      </w:r>
      <w:r w:rsidR="003E6575" w:rsidRPr="00546FE0">
        <w:rPr>
          <w:rFonts w:ascii="Arial Narrow" w:hAnsi="Arial Narrow"/>
        </w:rPr>
        <w:t xml:space="preserve">. </w:t>
      </w:r>
    </w:p>
    <w:p w14:paraId="406F5CA6" w14:textId="0913069E" w:rsidR="00B52B09" w:rsidRDefault="00B52B09"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39F17EC4" w14:textId="01000AC8" w:rsidR="007A0028" w:rsidRDefault="008949CF" w:rsidP="00B42ED3">
      <w:pPr>
        <w:pStyle w:val="En-tte"/>
        <w:spacing w:after="120" w:line="360" w:lineRule="auto"/>
        <w:rPr>
          <w:rFonts w:ascii="Arial Narrow" w:hAnsi="Arial Narrow"/>
        </w:rPr>
      </w:pPr>
      <w:r w:rsidRPr="008949CF">
        <w:rPr>
          <w:rFonts w:ascii="Arial Narrow" w:hAnsi="Arial Narrow"/>
        </w:rPr>
        <w:t xml:space="preserve">Le titulaire du marché devra fournir les pièces financières </w:t>
      </w:r>
      <w:r w:rsidRPr="00051022">
        <w:rPr>
          <w:rFonts w:ascii="Arial Narrow" w:hAnsi="Arial Narrow"/>
        </w:rPr>
        <w:t xml:space="preserve">actualisées </w:t>
      </w:r>
      <w:r w:rsidRPr="008949CF">
        <w:rPr>
          <w:rFonts w:ascii="Arial Narrow" w:hAnsi="Arial Narrow"/>
        </w:rPr>
        <w:t>(format.xlsx) pour vérification du service des affaires financières de la direction administrative et financière</w:t>
      </w:r>
      <w:r w:rsidR="00051022">
        <w:rPr>
          <w:rFonts w:ascii="Arial Narrow" w:hAnsi="Arial Narrow"/>
        </w:rPr>
        <w:t>.</w:t>
      </w:r>
    </w:p>
    <w:p w14:paraId="79AA41C4" w14:textId="77777777" w:rsidR="00051022" w:rsidRDefault="00051022"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lastRenderedPageBreak/>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maître d’œuvre peut être amené au cours de l’exécution du marché à modifier l’importance ou la disposition des ouvrages prévus dans le cadre du marché.</w:t>
      </w:r>
    </w:p>
    <w:p w14:paraId="00A1B628" w14:textId="2D346EE2" w:rsidR="00904D87" w:rsidRPr="000F6D9C" w:rsidRDefault="00904D87" w:rsidP="000D06AD">
      <w:pPr>
        <w:pStyle w:val="En-tte"/>
        <w:spacing w:after="120" w:line="360" w:lineRule="auto"/>
        <w:jc w:val="both"/>
        <w:rPr>
          <w:rFonts w:ascii="Arial Narrow" w:hAnsi="Arial Narrow"/>
        </w:rPr>
      </w:pPr>
      <w:r w:rsidRPr="00904D87">
        <w:rPr>
          <w:rFonts w:ascii="Arial Narrow" w:hAnsi="Arial Narrow"/>
        </w:rPr>
        <w:t>Ces travaux supplémentaires ou modificatifs</w:t>
      </w:r>
      <w:r>
        <w:rPr>
          <w:rFonts w:ascii="Arial Narrow" w:hAnsi="Arial Narrow"/>
        </w:rPr>
        <w:t xml:space="preserve"> font l’objet d’un ordre de service signé du maitre d’œuvre après accord </w:t>
      </w:r>
      <w:r w:rsidRPr="000F6D9C">
        <w:rPr>
          <w:rFonts w:ascii="Arial Narrow" w:hAnsi="Arial Narrow"/>
        </w:rPr>
        <w:t>du maitre d’</w:t>
      </w:r>
      <w:r w:rsidR="000F6D9C" w:rsidRPr="000F6D9C">
        <w:rPr>
          <w:rFonts w:ascii="Arial Narrow" w:hAnsi="Arial Narrow"/>
        </w:rPr>
        <w:t xml:space="preserve">ouvrage, dans les conditions prévues aux articles 13.3 et 13.4 du CCAG-TVX.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283C1D84" w14:textId="3C0644CF"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0F6D9C" w:rsidRPr="000F6D9C">
        <w:rPr>
          <w:rFonts w:ascii="Arial Narrow" w:hAnsi="Arial Narrow"/>
        </w:rPr>
        <w:t>VX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3F34B3">
      <w:pPr>
        <w:pStyle w:val="En-tte"/>
        <w:spacing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3F34B3">
      <w:pPr>
        <w:pStyle w:val="En-tte"/>
        <w:numPr>
          <w:ilvl w:val="0"/>
          <w:numId w:val="3"/>
        </w:numPr>
        <w:spacing w:line="360" w:lineRule="auto"/>
        <w:jc w:val="both"/>
        <w:rPr>
          <w:rFonts w:ascii="Arial Narrow" w:hAnsi="Arial Narrow"/>
        </w:rPr>
      </w:pPr>
      <w:r w:rsidRPr="000F6D9C">
        <w:rPr>
          <w:rFonts w:ascii="Arial Narrow" w:hAnsi="Arial Narrow"/>
        </w:rPr>
        <w:t>Ces modifications devront faire apparaître un avantage certain pour l’opération (moins-value financière, gain de temps, etc…)</w:t>
      </w:r>
    </w:p>
    <w:p w14:paraId="6F4C5D18" w14:textId="77777777" w:rsidR="000D06AD" w:rsidRPr="000F6D9C" w:rsidRDefault="000D06AD" w:rsidP="003F34B3">
      <w:pPr>
        <w:pStyle w:val="En-tte"/>
        <w:numPr>
          <w:ilvl w:val="0"/>
          <w:numId w:val="3"/>
        </w:numPr>
        <w:spacing w:line="360" w:lineRule="auto"/>
        <w:jc w:val="both"/>
        <w:rPr>
          <w:rFonts w:ascii="Arial Narrow" w:hAnsi="Arial Narrow"/>
        </w:rPr>
      </w:pPr>
      <w:r w:rsidRPr="000F6D9C">
        <w:rPr>
          <w:rFonts w:ascii="Arial Narrow" w:hAnsi="Arial Narrow"/>
        </w:rPr>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3F34B3">
      <w:pPr>
        <w:pStyle w:val="En-tte"/>
        <w:numPr>
          <w:ilvl w:val="0"/>
          <w:numId w:val="3"/>
        </w:numPr>
        <w:spacing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3F34B3">
      <w:pPr>
        <w:pStyle w:val="En-tte"/>
        <w:numPr>
          <w:ilvl w:val="0"/>
          <w:numId w:val="3"/>
        </w:numPr>
        <w:spacing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PAIEMENT</w:t>
      </w:r>
      <w:r w:rsidR="004C5CF1" w:rsidRPr="00546FE0">
        <w:rPr>
          <w:rFonts w:ascii="Arial Narrow" w:hAnsi="Arial Narrow"/>
          <w:b/>
        </w:rPr>
        <w:t xml:space="preserve"> DES PRESTATIONS</w:t>
      </w:r>
    </w:p>
    <w:p w14:paraId="64FD0189" w14:textId="779AB4D8" w:rsidR="0014540C" w:rsidRPr="00546FE0" w:rsidRDefault="00E657AB" w:rsidP="00E657AB">
      <w:pPr>
        <w:pStyle w:val="En-tte"/>
        <w:numPr>
          <w:ilvl w:val="1"/>
          <w:numId w:val="4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3FAE0598" w14:textId="5DF2B8AE" w:rsidR="0014540C" w:rsidRPr="00546FE0" w:rsidRDefault="0014540C" w:rsidP="0014540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50621E">
        <w:rPr>
          <w:rFonts w:ascii="Arial Narrow" w:hAnsi="Arial Narrow"/>
          <w:bCs/>
          <w:iCs/>
        </w:rPr>
        <w:t>TVX</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2A4E9EB" w14:textId="31EBF9A0" w:rsidR="004F00ED" w:rsidRPr="003F34B3" w:rsidRDefault="005625C3" w:rsidP="004F00ED">
      <w:pPr>
        <w:pStyle w:val="En-tte"/>
        <w:spacing w:after="120" w:line="360" w:lineRule="auto"/>
        <w:jc w:val="both"/>
        <w:rPr>
          <w:rFonts w:ascii="Arial Narrow" w:hAnsi="Arial Narrow"/>
        </w:rPr>
      </w:pPr>
      <w:r w:rsidRPr="005625C3">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5D4AD7C8" w14:textId="292CD5CF" w:rsidR="004C5CF1" w:rsidRPr="00546FE0" w:rsidRDefault="00E657AB" w:rsidP="00E657AB">
      <w:pPr>
        <w:pStyle w:val="En-tte"/>
        <w:numPr>
          <w:ilvl w:val="1"/>
          <w:numId w:val="4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p>
    <w:p w14:paraId="4D9ED0A6"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Le paiement des prestations s’effectuera dans les conditions prévues à l’article 12 du CCAG-TVX et aux articles R. 2191-20 à R. 2191-22 du code de la commande publique, par le versement d’acomptes mensuels dont le montant correspond à la valeur des prestations auxquelles ils se rapportent.   </w:t>
      </w:r>
    </w:p>
    <w:p w14:paraId="60B74A84"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Par dérogation aux dispositions des articles 12.1 et 12.2 du CCAG-Travaux, la gestion des décomptes et acomptes par le titulaire, le maître d'œuvre et l’acheteur est assurée par traitement informatique (service d’échange électronique de gestion financière des travaux) par le biais de l’outil EDIFLEX, dans les conditions et modalités annexées au CCAP. </w:t>
      </w:r>
    </w:p>
    <w:p w14:paraId="49762661" w14:textId="7A859CFD" w:rsidR="005625C3" w:rsidRPr="005625C3" w:rsidRDefault="005625C3" w:rsidP="005625C3">
      <w:pPr>
        <w:pStyle w:val="En-tte"/>
        <w:spacing w:after="120" w:line="360" w:lineRule="auto"/>
        <w:ind w:left="567"/>
        <w:jc w:val="both"/>
        <w:rPr>
          <w:rFonts w:ascii="Arial Narrow" w:hAnsi="Arial Narrow"/>
          <w:b/>
        </w:rPr>
      </w:pPr>
      <w:r w:rsidRPr="005625C3">
        <w:rPr>
          <w:rFonts w:ascii="Arial Narrow" w:hAnsi="Arial Narrow"/>
          <w:b/>
        </w:rPr>
        <w:t>1</w:t>
      </w:r>
      <w:r w:rsidR="00E657AB">
        <w:rPr>
          <w:rFonts w:ascii="Arial Narrow" w:hAnsi="Arial Narrow"/>
          <w:b/>
        </w:rPr>
        <w:t>4</w:t>
      </w:r>
      <w:r w:rsidRPr="005625C3">
        <w:rPr>
          <w:rFonts w:ascii="Arial Narrow" w:hAnsi="Arial Narrow"/>
          <w:b/>
        </w:rPr>
        <w:t xml:space="preserve">.2.1 Acomptes mensuels </w:t>
      </w:r>
    </w:p>
    <w:p w14:paraId="54AB277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CCAG-Travaux en tenant compte des précisions suivantes :</w:t>
      </w:r>
    </w:p>
    <w:p w14:paraId="4516AE7E"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Le maître d’œuvre, à partir du décompte mensuel, dresse un projet d’état d’acompte mensuel, comprenant les différents éléments indiqués à l’article 12.2.1 du CCAG-Travaux, et l’adresse au Maitre d’ouvrage dans un délai de sept (7) jours à compter de la réception du projet de décompte.</w:t>
      </w:r>
    </w:p>
    <w:p w14:paraId="1230E793"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par dérogation à l’article 12.2.2 du CCAG-Travaux,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7930B709"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cas de contestation sur le montant de l’acompte, le Maitre d’ouvrage règle les sommes qu’il a admises. </w:t>
      </w:r>
    </w:p>
    <w:p w14:paraId="5CEABCCB"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application des stipulations de l’article 10.4 du CCAG-Travaux,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8350BF">
      <w:pPr>
        <w:pStyle w:val="En-tte"/>
        <w:spacing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6FEAEC28" w14:textId="5E28125D" w:rsidR="005625C3" w:rsidRPr="005625C3" w:rsidRDefault="008350BF" w:rsidP="008350BF">
      <w:pPr>
        <w:pStyle w:val="En-tte"/>
        <w:numPr>
          <w:ilvl w:val="0"/>
          <w:numId w:val="3"/>
        </w:numPr>
        <w:spacing w:line="360" w:lineRule="auto"/>
        <w:jc w:val="both"/>
        <w:rPr>
          <w:rFonts w:ascii="Arial Narrow" w:hAnsi="Arial Narrow"/>
        </w:rPr>
      </w:pPr>
      <w:r w:rsidRPr="005625C3">
        <w:rPr>
          <w:rFonts w:ascii="Arial Narrow" w:hAnsi="Arial Narrow"/>
        </w:rPr>
        <w:t>Tout</w:t>
      </w:r>
      <w:r w:rsidR="005625C3" w:rsidRPr="005625C3">
        <w:rPr>
          <w:rFonts w:ascii="Arial Narrow" w:hAnsi="Arial Narrow"/>
        </w:rPr>
        <w:t xml:space="preserve"> document justificatif mentionnant au minimum la date de la commande, la description précise des approvisionnements, les quantités livrées ;</w:t>
      </w:r>
    </w:p>
    <w:p w14:paraId="2272A5D5" w14:textId="4B8A1A6A" w:rsidR="005625C3" w:rsidRPr="005625C3" w:rsidRDefault="008350BF" w:rsidP="008350BF">
      <w:pPr>
        <w:pStyle w:val="En-tte"/>
        <w:numPr>
          <w:ilvl w:val="0"/>
          <w:numId w:val="3"/>
        </w:numPr>
        <w:spacing w:after="120" w:line="360" w:lineRule="auto"/>
        <w:jc w:val="both"/>
        <w:rPr>
          <w:rFonts w:ascii="Arial Narrow" w:hAnsi="Arial Narrow"/>
        </w:rPr>
      </w:pPr>
      <w:r w:rsidRPr="005625C3">
        <w:rPr>
          <w:rFonts w:ascii="Arial Narrow" w:hAnsi="Arial Narrow"/>
        </w:rPr>
        <w:t>Les</w:t>
      </w:r>
      <w:r w:rsidR="005625C3" w:rsidRPr="005625C3">
        <w:rPr>
          <w:rFonts w:ascii="Arial Narrow" w:hAnsi="Arial Narrow"/>
        </w:rPr>
        <w:t xml:space="preserve">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654C8EF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5142573B" w:rsidR="005625C3" w:rsidRPr="005625C3" w:rsidRDefault="00E657AB"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-Travaux, à compter de la plus tardive des deux dates suivantes :</w:t>
      </w:r>
    </w:p>
    <w:p w14:paraId="4309FA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-Date de notification de la décision de levée des réserves,</w:t>
      </w:r>
    </w:p>
    <w:p w14:paraId="70CE998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Date de remise du dossier des ouvrages exécutés (DOE) et des documents nécessaires à l’établissement du dossier d’intervention ultérieur sur l’ouvrage (DIUO).</w:t>
      </w:r>
    </w:p>
    <w:p w14:paraId="1CB1653E" w14:textId="7CAE3366"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CCAG-Travaux, le Maitre d’ouvrage notifie au titulaire le décompte général dans un délai de quarante-cinq (45) jours à compter de la date de notification du projet de décompte final au maître d’œuvre.</w:t>
      </w:r>
    </w:p>
    <w:p w14:paraId="02C930A6" w14:textId="35BB2C79" w:rsidR="005413BD" w:rsidRPr="00546FE0" w:rsidRDefault="00E657AB" w:rsidP="00E657AB">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0695357D"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8949CF">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3AB4AF45" w:rsidR="00367714" w:rsidRPr="00546FE0" w:rsidRDefault="00E657AB" w:rsidP="00E657AB">
      <w:pPr>
        <w:pStyle w:val="En-tte"/>
        <w:numPr>
          <w:ilvl w:val="1"/>
          <w:numId w:val="43"/>
        </w:numPr>
        <w:tabs>
          <w:tab w:val="clear" w:pos="4536"/>
          <w:tab w:val="clear" w:pos="9072"/>
        </w:tabs>
        <w:spacing w:after="240" w:line="360" w:lineRule="auto"/>
        <w:jc w:val="both"/>
        <w:rPr>
          <w:rFonts w:ascii="Arial Narrow" w:hAnsi="Arial Narrow"/>
          <w:b/>
        </w:rPr>
      </w:pPr>
      <w:r>
        <w:rPr>
          <w:rFonts w:ascii="Arial Narrow" w:hAnsi="Arial Narrow"/>
          <w:b/>
        </w:rPr>
        <w:lastRenderedPageBreak/>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30E0B95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8949CF">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307CE2B0"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8949CF">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0FE38539"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1B4DBC">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B7CE374"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8949CF">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6263E630" w14:textId="77777777" w:rsidR="00B76C4A" w:rsidRPr="00546FE0"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2D82BB25" w14:textId="06DB8813" w:rsidR="006465DC" w:rsidRDefault="00B76C4A" w:rsidP="00B76C4A">
      <w:pPr>
        <w:pStyle w:val="En-tte"/>
        <w:spacing w:after="120" w:line="360" w:lineRule="auto"/>
        <w:jc w:val="both"/>
        <w:rPr>
          <w:rFonts w:ascii="Arial Narrow" w:hAnsi="Arial Narrow"/>
        </w:rPr>
      </w:pPr>
      <w:r w:rsidRPr="00561425">
        <w:rPr>
          <w:rFonts w:ascii="Arial Narrow" w:hAnsi="Arial Narrow"/>
        </w:rPr>
        <w:t xml:space="preserve">Le montant de cette retenue de garantie est fixé à </w:t>
      </w:r>
      <w:r w:rsidR="00F0784C" w:rsidRPr="00561425">
        <w:rPr>
          <w:rFonts w:ascii="Arial Narrow" w:hAnsi="Arial Narrow"/>
        </w:rPr>
        <w:t>5</w:t>
      </w:r>
      <w:r w:rsidRPr="00561425">
        <w:rPr>
          <w:rFonts w:ascii="Arial Narrow" w:hAnsi="Arial Narrow"/>
        </w:rPr>
        <w:t>% du montant du marché</w:t>
      </w:r>
      <w:r w:rsidR="002719AE" w:rsidRPr="00561425">
        <w:rPr>
          <w:rFonts w:ascii="Arial Narrow" w:hAnsi="Arial Narrow"/>
        </w:rPr>
        <w:t>, ou de 3% si l’entreprise est une PME.</w:t>
      </w:r>
      <w:r w:rsidR="002719AE">
        <w:rPr>
          <w:rFonts w:ascii="Arial Narrow" w:hAnsi="Arial Narrow"/>
        </w:rPr>
        <w:t xml:space="preserve"> </w:t>
      </w:r>
      <w:r w:rsidR="006A3A08">
        <w:rPr>
          <w:rFonts w:ascii="Arial Narrow" w:hAnsi="Arial Narrow"/>
        </w:rPr>
        <w:t xml:space="preserve"> </w:t>
      </w:r>
    </w:p>
    <w:p w14:paraId="6FD44732" w14:textId="494CD132" w:rsidR="00B76C4A" w:rsidRPr="00546FE0" w:rsidRDefault="006465DC" w:rsidP="005E520A">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r w:rsidR="00B76C4A" w:rsidRPr="00546FE0">
        <w:rPr>
          <w:rFonts w:ascii="Arial Narrow" w:hAnsi="Arial Narrow"/>
        </w:rPr>
        <w:t xml:space="preserv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1B968E02"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.1 du présent CCAP, uniquement une garantie à première demande, l’</w:t>
      </w:r>
      <w:r w:rsidR="008949CF">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0A478AF8"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8949CF">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6E542AF0"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w:t>
      </w:r>
      <w:r w:rsidR="008949CF">
        <w:rPr>
          <w:rFonts w:ascii="Arial Narrow" w:hAnsi="Arial Narrow"/>
        </w:rPr>
        <w:t>EPMO-VGE</w:t>
      </w:r>
      <w:r w:rsidRPr="00546FE0">
        <w:rPr>
          <w:rFonts w:ascii="Arial Narrow" w:hAnsi="Arial Narrow"/>
        </w:rPr>
        <w:t xml:space="preserve">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lastRenderedPageBreak/>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012931" w:rsidRDefault="00F0784C" w:rsidP="00012931">
      <w:pPr>
        <w:pStyle w:val="Corpsdetexte"/>
        <w:tabs>
          <w:tab w:val="center" w:pos="4536"/>
          <w:tab w:val="right" w:pos="9072"/>
        </w:tabs>
        <w:rPr>
          <w:rFonts w:ascii="Arial Narrow" w:hAnsi="Arial Narrow"/>
        </w:rPr>
      </w:pPr>
      <w:r w:rsidRPr="00012931">
        <w:rPr>
          <w:rFonts w:ascii="Arial Narrow" w:hAnsi="Arial Narrow"/>
        </w:rPr>
        <w:t xml:space="preserve">Les pénalités pouvant être appliquées sont les suivantes : </w:t>
      </w:r>
    </w:p>
    <w:tbl>
      <w:tblPr>
        <w:tblStyle w:val="Grilledutableau2"/>
        <w:tblW w:w="0" w:type="auto"/>
        <w:tblLook w:val="04A0" w:firstRow="1" w:lastRow="0" w:firstColumn="1" w:lastColumn="0" w:noHBand="0" w:noVBand="1"/>
      </w:tblPr>
      <w:tblGrid>
        <w:gridCol w:w="3256"/>
        <w:gridCol w:w="5806"/>
      </w:tblGrid>
      <w:tr w:rsidR="00F0784C" w:rsidRPr="00F0784C" w14:paraId="7105CC2C" w14:textId="77777777" w:rsidTr="00012931">
        <w:tc>
          <w:tcPr>
            <w:tcW w:w="3256" w:type="dxa"/>
            <w:shd w:val="clear" w:color="auto" w:fill="D9D9D9" w:themeFill="background1" w:themeFillShade="D9"/>
            <w:vAlign w:val="bottom"/>
          </w:tcPr>
          <w:p w14:paraId="631F3ADC" w14:textId="0C3E0667" w:rsidR="00F0784C" w:rsidRPr="00F0784C" w:rsidRDefault="00012931" w:rsidP="00012931">
            <w:pPr>
              <w:tabs>
                <w:tab w:val="center" w:pos="4536"/>
                <w:tab w:val="right" w:pos="9072"/>
              </w:tabs>
              <w:spacing w:before="120" w:line="360" w:lineRule="auto"/>
              <w:jc w:val="center"/>
              <w:rPr>
                <w:rFonts w:ascii="Arial Narrow" w:hAnsi="Arial Narrow"/>
              </w:rPr>
            </w:pPr>
            <w:r>
              <w:rPr>
                <w:rFonts w:ascii="Arial Narrow" w:hAnsi="Arial Narrow"/>
              </w:rPr>
              <w:t>Type de pénalité</w:t>
            </w:r>
          </w:p>
        </w:tc>
        <w:tc>
          <w:tcPr>
            <w:tcW w:w="5806" w:type="dxa"/>
            <w:shd w:val="clear" w:color="auto" w:fill="D9D9D9" w:themeFill="background1" w:themeFillShade="D9"/>
            <w:vAlign w:val="bottom"/>
          </w:tcPr>
          <w:p w14:paraId="4021F020" w14:textId="3C2DF9DE" w:rsidR="00F0784C" w:rsidRPr="00F0784C" w:rsidRDefault="00012931" w:rsidP="00012931">
            <w:pPr>
              <w:tabs>
                <w:tab w:val="center" w:pos="4536"/>
                <w:tab w:val="right" w:pos="9072"/>
              </w:tabs>
              <w:spacing w:before="120" w:line="360" w:lineRule="auto"/>
              <w:jc w:val="center"/>
              <w:rPr>
                <w:rFonts w:ascii="Arial Narrow" w:hAnsi="Arial Narrow"/>
              </w:rPr>
            </w:pPr>
            <w:r>
              <w:rPr>
                <w:rFonts w:ascii="Arial Narrow" w:hAnsi="Arial Narrow"/>
              </w:rPr>
              <w:t>Modalités d’application</w:t>
            </w:r>
          </w:p>
        </w:tc>
      </w:tr>
      <w:tr w:rsidR="00012931" w:rsidRPr="00F0784C" w14:paraId="27F06563" w14:textId="77777777" w:rsidTr="00012931">
        <w:tc>
          <w:tcPr>
            <w:tcW w:w="3256" w:type="dxa"/>
          </w:tcPr>
          <w:p w14:paraId="608FA595" w14:textId="0A8F013A" w:rsidR="00012931" w:rsidRPr="00012931" w:rsidRDefault="00012931" w:rsidP="00012931">
            <w:pPr>
              <w:pStyle w:val="En-tte"/>
              <w:spacing w:line="360" w:lineRule="auto"/>
              <w:rPr>
                <w:rFonts w:ascii="Arial Narrow" w:hAnsi="Arial Narrow"/>
              </w:rPr>
            </w:pPr>
            <w:r w:rsidRPr="00012931">
              <w:rPr>
                <w:rFonts w:ascii="Arial Narrow" w:hAnsi="Arial Narrow"/>
              </w:rPr>
              <w:t>Retard dans l’établissement, la présentation et la correction des documents de préparation et d’exécution des travaux</w:t>
            </w:r>
          </w:p>
        </w:tc>
        <w:tc>
          <w:tcPr>
            <w:tcW w:w="5806" w:type="dxa"/>
          </w:tcPr>
          <w:p w14:paraId="01D01CE0" w14:textId="3A0B0286"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En cas de dépassement des délais fixés pour la remise des pièces ou documents prévus au présent marché, le titulaire encourt des pénalités dont le montant par jour calendaire de retard et par document est fixé à cent (100) euros</w:t>
            </w:r>
            <w:r>
              <w:rPr>
                <w:rFonts w:ascii="Arial Narrow" w:hAnsi="Arial Narrow"/>
              </w:rPr>
              <w:t xml:space="preserve"> HT</w:t>
            </w:r>
            <w:r w:rsidRPr="00F0784C">
              <w:rPr>
                <w:rFonts w:ascii="Arial Narrow" w:hAnsi="Arial Narrow"/>
              </w:rPr>
              <w:t xml:space="preserve">. </w:t>
            </w:r>
          </w:p>
        </w:tc>
      </w:tr>
      <w:tr w:rsidR="00012931" w:rsidRPr="00F0784C" w14:paraId="0B78302F" w14:textId="77777777" w:rsidTr="00012931">
        <w:tc>
          <w:tcPr>
            <w:tcW w:w="3256" w:type="dxa"/>
          </w:tcPr>
          <w:p w14:paraId="067697F1" w14:textId="77777777" w:rsidR="00012931" w:rsidRPr="00F0784C" w:rsidRDefault="00012931" w:rsidP="00012931">
            <w:pPr>
              <w:tabs>
                <w:tab w:val="center" w:pos="4536"/>
                <w:tab w:val="right" w:pos="9072"/>
              </w:tabs>
              <w:spacing w:after="120" w:line="360" w:lineRule="auto"/>
              <w:ind w:left="22"/>
              <w:jc w:val="both"/>
              <w:rPr>
                <w:rFonts w:ascii="Arial Narrow" w:hAnsi="Arial Narrow"/>
              </w:rPr>
            </w:pPr>
            <w:r w:rsidRPr="00F0784C">
              <w:rPr>
                <w:rFonts w:ascii="Arial Narrow" w:hAnsi="Arial Narrow"/>
              </w:rPr>
              <w:t>Retard dans l’exécution des travaux et dans la présentation d’échantillons, maquettes et prototypes</w:t>
            </w:r>
          </w:p>
          <w:p w14:paraId="0EAFB805" w14:textId="77777777" w:rsidR="00012931" w:rsidRPr="00F0784C" w:rsidRDefault="00012931" w:rsidP="00012931">
            <w:pPr>
              <w:tabs>
                <w:tab w:val="center" w:pos="4536"/>
                <w:tab w:val="right" w:pos="9072"/>
              </w:tabs>
              <w:spacing w:after="120" w:line="360" w:lineRule="auto"/>
              <w:ind w:left="360"/>
              <w:jc w:val="both"/>
              <w:rPr>
                <w:rFonts w:ascii="Arial Narrow" w:hAnsi="Arial Narrow"/>
              </w:rPr>
            </w:pPr>
          </w:p>
        </w:tc>
        <w:tc>
          <w:tcPr>
            <w:tcW w:w="5806" w:type="dxa"/>
          </w:tcPr>
          <w:p w14:paraId="06334587" w14:textId="278DD923" w:rsidR="00012931" w:rsidRPr="00012931" w:rsidRDefault="00012931" w:rsidP="00012931">
            <w:pPr>
              <w:pStyle w:val="Corpsdetexte"/>
              <w:tabs>
                <w:tab w:val="center" w:pos="4536"/>
                <w:tab w:val="right" w:pos="9072"/>
              </w:tabs>
              <w:rPr>
                <w:rFonts w:ascii="Arial Narrow" w:hAnsi="Arial Narrow"/>
              </w:rPr>
            </w:pPr>
            <w:r w:rsidRPr="00012931">
              <w:rPr>
                <w:rFonts w:ascii="Arial Narrow" w:hAnsi="Arial Narrow"/>
              </w:rPr>
              <w:t>Par dérogation à l’article 19.2.3 du CCAG-TVX, en cas de retard dans l’exécution des travaux, qu’il s’agisse de l’ensemble des prestations ou d’une phase pour laquelle un délai partiel ou une date limite a été fixé, il est appliquée une pénalité égale à trois cents (300) euros HT par jour calendaire de retard constaté.</w:t>
            </w:r>
          </w:p>
          <w:p w14:paraId="77FEF7DF" w14:textId="77777777"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Les pénalités sont encourues du fait de la simple constatation du retard par le maître d’œuvre ou le Maitre d’ouvrage à partir de la date limite ou de la fin du délai d’intervention prévu dans le calendrier détaillé d’exécution des travaux pour tout ou partie d’ouvrage.</w:t>
            </w:r>
          </w:p>
        </w:tc>
      </w:tr>
      <w:tr w:rsidR="00012931" w:rsidRPr="00F0784C" w14:paraId="50BB86C0" w14:textId="77777777" w:rsidTr="00012931">
        <w:tc>
          <w:tcPr>
            <w:tcW w:w="3256" w:type="dxa"/>
          </w:tcPr>
          <w:p w14:paraId="6BFF2C83" w14:textId="2D9B5982"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tc>
        <w:tc>
          <w:tcPr>
            <w:tcW w:w="5806" w:type="dxa"/>
          </w:tcPr>
          <w:p w14:paraId="375B9DA5" w14:textId="3A28522A"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(100) euros</w:t>
            </w:r>
            <w:r>
              <w:rPr>
                <w:rFonts w:ascii="Arial Narrow" w:hAnsi="Arial Narrow"/>
              </w:rPr>
              <w:t xml:space="preserve"> HT</w:t>
            </w:r>
            <w:r w:rsidRPr="00F0784C">
              <w:rPr>
                <w:rFonts w:ascii="Arial Narrow" w:hAnsi="Arial Narrow"/>
              </w:rPr>
              <w:t xml:space="preserve"> par jour calendaire de retard constaté sur le délai imposé par le maître d’œuvre pour remédier à cette défaillance.</w:t>
            </w:r>
          </w:p>
        </w:tc>
      </w:tr>
      <w:tr w:rsidR="00012931" w:rsidRPr="00F0784C" w14:paraId="25DC6FA5" w14:textId="77777777" w:rsidTr="00012931">
        <w:tc>
          <w:tcPr>
            <w:tcW w:w="3256" w:type="dxa"/>
          </w:tcPr>
          <w:p w14:paraId="452D5C5A"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4B876FE5" w14:textId="26516D0E"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En cas de retard dans le nettoiement des espaces, le titulaire subira une pénalité de cent (100) euros</w:t>
            </w:r>
            <w:r>
              <w:rPr>
                <w:rFonts w:ascii="Arial Narrow" w:hAnsi="Arial Narrow"/>
              </w:rPr>
              <w:t xml:space="preserve"> HT</w:t>
            </w:r>
            <w:r w:rsidRPr="00F0784C">
              <w:rPr>
                <w:rFonts w:ascii="Arial Narrow" w:hAnsi="Arial Narrow"/>
              </w:rPr>
              <w:t xml:space="preserve"> par jour calendaire de retard constaté sur le délai imposé par le maître d’œuvre pour remédier à cette défaillance.</w:t>
            </w:r>
          </w:p>
        </w:tc>
      </w:tr>
      <w:tr w:rsidR="00012931" w:rsidRPr="00F0784C" w14:paraId="4C6AE462" w14:textId="77777777" w:rsidTr="00012931">
        <w:tc>
          <w:tcPr>
            <w:tcW w:w="3256" w:type="dxa"/>
          </w:tcPr>
          <w:p w14:paraId="14B3E369"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5427FE26"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1D4DCAD4" w14:textId="7343DB9C"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 xml:space="preserve">Tout manquement aux stipulations relatives à la sécurité, la sûreté et l’hygiène prévues au CCTP, au CCAG-TVX et, le cas échéant, au PGC et aux PPSPS, entraînera l’application d’une pénalité de deux cents (200) euros </w:t>
            </w:r>
            <w:r>
              <w:rPr>
                <w:rFonts w:ascii="Arial Narrow" w:hAnsi="Arial Narrow"/>
              </w:rPr>
              <w:t xml:space="preserve">HT </w:t>
            </w:r>
            <w:r w:rsidRPr="00F0784C">
              <w:rPr>
                <w:rFonts w:ascii="Arial Narrow" w:hAnsi="Arial Narrow"/>
              </w:rPr>
              <w:t>par manquement et/ou par jour calendaire de retard constaté.</w:t>
            </w:r>
          </w:p>
        </w:tc>
      </w:tr>
      <w:tr w:rsidR="00012931" w:rsidRPr="00F0784C" w14:paraId="4B286E46" w14:textId="77777777" w:rsidTr="00012931">
        <w:tc>
          <w:tcPr>
            <w:tcW w:w="3256" w:type="dxa"/>
          </w:tcPr>
          <w:p w14:paraId="0F59B960" w14:textId="3887DE42"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tc>
        <w:tc>
          <w:tcPr>
            <w:tcW w:w="5806" w:type="dxa"/>
          </w:tcPr>
          <w:p w14:paraId="00294AD5" w14:textId="7D6DEBA6"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Chaque retard constaté de plus d’une demi-heure aux réunions de chantier entraînera l’application d’une pénalité de cinquante (50) euros</w:t>
            </w:r>
            <w:r>
              <w:rPr>
                <w:rFonts w:ascii="Arial Narrow" w:hAnsi="Arial Narrow"/>
              </w:rPr>
              <w:t xml:space="preserve"> HT</w:t>
            </w:r>
            <w:r w:rsidRPr="00F0784C">
              <w:rPr>
                <w:rFonts w:ascii="Arial Narrow" w:hAnsi="Arial Narrow"/>
              </w:rPr>
              <w:t>.</w:t>
            </w:r>
          </w:p>
        </w:tc>
      </w:tr>
      <w:tr w:rsidR="00012931" w:rsidRPr="00F0784C" w14:paraId="3B5E0CC3" w14:textId="77777777" w:rsidTr="00012931">
        <w:tc>
          <w:tcPr>
            <w:tcW w:w="3256" w:type="dxa"/>
          </w:tcPr>
          <w:p w14:paraId="691B434D"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 xml:space="preserve">Absence aux réunions de chantier </w:t>
            </w:r>
          </w:p>
        </w:tc>
        <w:tc>
          <w:tcPr>
            <w:tcW w:w="5806" w:type="dxa"/>
          </w:tcPr>
          <w:p w14:paraId="55F1E153" w14:textId="381D64B2"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Chaque absence constatée aux réunions de chantier entraînera l’application d’une pénalité de cent (100) euros</w:t>
            </w:r>
            <w:r>
              <w:rPr>
                <w:rFonts w:ascii="Arial Narrow" w:hAnsi="Arial Narrow"/>
              </w:rPr>
              <w:t xml:space="preserve"> HT</w:t>
            </w:r>
            <w:r w:rsidRPr="00F0784C">
              <w:rPr>
                <w:rFonts w:ascii="Arial Narrow" w:hAnsi="Arial Narrow"/>
              </w:rPr>
              <w:t xml:space="preserve">.  </w:t>
            </w:r>
          </w:p>
        </w:tc>
      </w:tr>
      <w:tr w:rsidR="00012931" w:rsidRPr="00F0784C" w14:paraId="1DC7EE2D" w14:textId="77777777" w:rsidTr="00012931">
        <w:tc>
          <w:tcPr>
            <w:tcW w:w="3256" w:type="dxa"/>
          </w:tcPr>
          <w:p w14:paraId="221C65FD"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806" w:type="dxa"/>
          </w:tcPr>
          <w:p w14:paraId="368169E3" w14:textId="1499FF4E" w:rsidR="00012931" w:rsidRPr="00F0784C" w:rsidRDefault="00012931" w:rsidP="00705A96">
            <w:pPr>
              <w:tabs>
                <w:tab w:val="center" w:pos="4536"/>
                <w:tab w:val="right" w:pos="9072"/>
              </w:tabs>
              <w:spacing w:line="360" w:lineRule="auto"/>
              <w:jc w:val="both"/>
              <w:rPr>
                <w:rFonts w:ascii="Arial Narrow" w:hAnsi="Arial Narrow"/>
              </w:rPr>
            </w:pPr>
            <w:r w:rsidRPr="00F0784C">
              <w:rPr>
                <w:rFonts w:ascii="Arial Narrow" w:hAnsi="Arial Narrow"/>
              </w:rPr>
              <w:t>Application de la pénalité prévue à l’article 1</w:t>
            </w:r>
            <w:r w:rsidR="00705A96">
              <w:rPr>
                <w:rFonts w:ascii="Arial Narrow" w:hAnsi="Arial Narrow"/>
              </w:rPr>
              <w:t>8</w:t>
            </w:r>
            <w:r w:rsidRPr="00F0784C">
              <w:rPr>
                <w:rFonts w:ascii="Arial Narrow" w:hAnsi="Arial Narrow"/>
              </w:rPr>
              <w:t xml:space="preserve"> du présent CCAP. </w:t>
            </w:r>
          </w:p>
        </w:tc>
      </w:tr>
      <w:tr w:rsidR="00012931" w:rsidRPr="00F0784C" w14:paraId="7D862551" w14:textId="77777777" w:rsidTr="00012931">
        <w:tc>
          <w:tcPr>
            <w:tcW w:w="3256" w:type="dxa"/>
          </w:tcPr>
          <w:p w14:paraId="1A08FD7B"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65F115F2"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6CE3E2F1" w14:textId="792DDC81"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En cas de retard dans la levée des réserves relevant de l’article 41.6 du CCAG-TVX, l’acheteur appliquera une pénalité de cent cinquante (150) euros</w:t>
            </w:r>
            <w:r>
              <w:rPr>
                <w:rFonts w:ascii="Arial Narrow" w:hAnsi="Arial Narrow"/>
              </w:rPr>
              <w:t xml:space="preserve"> HT</w:t>
            </w:r>
            <w:r w:rsidRPr="00F0784C">
              <w:rPr>
                <w:rFonts w:ascii="Arial Narrow" w:hAnsi="Arial Narrow"/>
              </w:rPr>
              <w:t xml:space="preserve"> par jour calendaire de retard constaté et par réserve non levée.</w:t>
            </w:r>
          </w:p>
        </w:tc>
      </w:tr>
      <w:tr w:rsidR="00012931" w:rsidRPr="00F0784C" w14:paraId="1EFA3F96" w14:textId="77777777" w:rsidTr="00012931">
        <w:tc>
          <w:tcPr>
            <w:tcW w:w="3256" w:type="dxa"/>
          </w:tcPr>
          <w:p w14:paraId="1E5298AD"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68625240" w14:textId="56F45B91" w:rsidR="00012931" w:rsidRPr="00F0784C" w:rsidRDefault="00012931" w:rsidP="00012931">
            <w:pPr>
              <w:tabs>
                <w:tab w:val="center" w:pos="4536"/>
                <w:tab w:val="right" w:pos="9072"/>
              </w:tabs>
              <w:spacing w:line="360" w:lineRule="auto"/>
              <w:jc w:val="both"/>
              <w:rPr>
                <w:rFonts w:ascii="Arial Narrow" w:hAnsi="Arial Narrow"/>
              </w:rPr>
            </w:pPr>
            <w:r w:rsidRPr="00F0784C">
              <w:rPr>
                <w:rFonts w:ascii="Arial Narrow" w:hAnsi="Arial Narrow"/>
              </w:rPr>
              <w:t>Conformément à l’article 36.2.3 du CCAG-TVX, si le titulaire n’a pas procédé à l’évacuation journalière des déchets provenant des travaux, il sera fait application des dispositions de l’article 37.2 du CCAG-TVX et d’une pénalité de cent (100) euros</w:t>
            </w:r>
            <w:r>
              <w:rPr>
                <w:rFonts w:ascii="Arial Narrow" w:hAnsi="Arial Narrow"/>
              </w:rPr>
              <w:t xml:space="preserve"> HT</w:t>
            </w:r>
            <w:r w:rsidRPr="00F0784C">
              <w:rPr>
                <w:rFonts w:ascii="Arial Narrow" w:hAnsi="Arial Narrow"/>
              </w:rPr>
              <w:t xml:space="preserve"> par jour calendaire de retard constaté à compter de la notification de la mise en demeure du titulaire jusqu’à l’évacuation effective des déchets et, à défaut, jusqu’à la prise en charge des déchets par un autre prestataire.</w:t>
            </w:r>
          </w:p>
        </w:tc>
      </w:tr>
      <w:tr w:rsidR="00012931" w:rsidRPr="00F0784C" w14:paraId="0B2AE938" w14:textId="77777777" w:rsidTr="00012931">
        <w:tc>
          <w:tcPr>
            <w:tcW w:w="3256" w:type="dxa"/>
          </w:tcPr>
          <w:p w14:paraId="48BB07E6"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4A2AD008"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677B95B3" w14:textId="7DFBDF08" w:rsidR="00012931" w:rsidRPr="00F0784C" w:rsidRDefault="00012931" w:rsidP="008C6F5D">
            <w:pPr>
              <w:tabs>
                <w:tab w:val="center" w:pos="4536"/>
                <w:tab w:val="right" w:pos="9072"/>
              </w:tabs>
              <w:spacing w:line="360" w:lineRule="auto"/>
              <w:jc w:val="both"/>
              <w:rPr>
                <w:rFonts w:ascii="Arial Narrow" w:hAnsi="Arial Narrow"/>
              </w:rPr>
            </w:pPr>
            <w:r w:rsidRPr="00F0784C">
              <w:rPr>
                <w:rFonts w:ascii="Arial Narrow" w:hAnsi="Arial Narrow"/>
              </w:rPr>
              <w:t>Par dérogation à l’alinéa 3 de l’article 40.1 du CCAG-TVX et, en cas de retard dans la remise des documents fournis après exécution, et après mise en demeure du titulaire, restée sans effet, celui-ci encourt la pénalité de cinq cent (500) euros</w:t>
            </w:r>
            <w:r w:rsidR="00596EEE">
              <w:rPr>
                <w:rFonts w:ascii="Arial Narrow" w:hAnsi="Arial Narrow"/>
              </w:rPr>
              <w:t xml:space="preserve"> HT</w:t>
            </w:r>
            <w:r w:rsidRPr="00F0784C">
              <w:rPr>
                <w:rFonts w:ascii="Arial Narrow" w:hAnsi="Arial Narrow"/>
              </w:rPr>
              <w:t xml:space="preserve"> par jour calendaire de retard constaté sur le délai précisé dans le courrier de mise en demeure.</w:t>
            </w:r>
          </w:p>
        </w:tc>
      </w:tr>
      <w:tr w:rsidR="00012931" w:rsidRPr="00F0784C" w14:paraId="652DC49F" w14:textId="77777777" w:rsidTr="00012931">
        <w:tc>
          <w:tcPr>
            <w:tcW w:w="3256" w:type="dxa"/>
          </w:tcPr>
          <w:p w14:paraId="0841C01F"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5D741045" w14:textId="77777777" w:rsidR="00012931" w:rsidRPr="00F0784C" w:rsidRDefault="00012931" w:rsidP="00012931">
            <w:pPr>
              <w:tabs>
                <w:tab w:val="center" w:pos="4536"/>
                <w:tab w:val="right" w:pos="9072"/>
              </w:tabs>
              <w:spacing w:after="120" w:line="360" w:lineRule="auto"/>
              <w:jc w:val="both"/>
              <w:rPr>
                <w:rFonts w:ascii="Arial Narrow" w:hAnsi="Arial Narrow"/>
              </w:rPr>
            </w:pPr>
          </w:p>
        </w:tc>
        <w:tc>
          <w:tcPr>
            <w:tcW w:w="5806" w:type="dxa"/>
          </w:tcPr>
          <w:p w14:paraId="48A10AF2" w14:textId="49DE65C5" w:rsidR="00012931" w:rsidRPr="00F0784C" w:rsidRDefault="00012931" w:rsidP="008C6F5D">
            <w:pPr>
              <w:tabs>
                <w:tab w:val="center" w:pos="4536"/>
                <w:tab w:val="right" w:pos="9072"/>
              </w:tabs>
              <w:spacing w:line="360" w:lineRule="auto"/>
              <w:jc w:val="both"/>
              <w:rPr>
                <w:rFonts w:ascii="Arial Narrow" w:hAnsi="Arial Narrow"/>
              </w:rPr>
            </w:pPr>
            <w:r w:rsidRPr="00F0784C">
              <w:rPr>
                <w:rFonts w:ascii="Arial Narrow" w:hAnsi="Arial Narrow"/>
              </w:rPr>
              <w:t>En attente d’un accord entre l’</w:t>
            </w:r>
            <w:r>
              <w:rPr>
                <w:rFonts w:ascii="Arial Narrow" w:hAnsi="Arial Narrow"/>
              </w:rPr>
              <w:t>EPMO-VGE</w:t>
            </w:r>
            <w:r w:rsidRPr="00F0784C">
              <w:rPr>
                <w:rFonts w:ascii="Arial Narrow" w:hAnsi="Arial Narrow"/>
              </w:rPr>
              <w:t xml:space="preserve"> et le titulaire, les imperfections et malfaçons éventuelles pouvant relever de l’article 41.7 du CCAG-TVX feront l’objet d’une réfaction provisoire de 15% du montant hors T.V.A des travaux correspondants, tel qu’il résulte de la décomposition du prix global et forfaitaire du lot concerné.</w:t>
            </w:r>
          </w:p>
        </w:tc>
      </w:tr>
      <w:tr w:rsidR="00012931" w:rsidRPr="00F0784C" w14:paraId="1D585F3E" w14:textId="77777777" w:rsidTr="00012931">
        <w:tc>
          <w:tcPr>
            <w:tcW w:w="3256" w:type="dxa"/>
          </w:tcPr>
          <w:p w14:paraId="27DCF861"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Pénalités pour non-respect des remarques du CSPS</w:t>
            </w:r>
          </w:p>
          <w:p w14:paraId="63317B4D" w14:textId="77777777" w:rsidR="00012931" w:rsidRPr="00F0784C" w:rsidRDefault="00012931" w:rsidP="00012931">
            <w:pPr>
              <w:tabs>
                <w:tab w:val="center" w:pos="4536"/>
                <w:tab w:val="right" w:pos="9072"/>
              </w:tabs>
              <w:spacing w:after="120" w:line="360" w:lineRule="auto"/>
              <w:jc w:val="both"/>
              <w:rPr>
                <w:rFonts w:ascii="Arial Narrow" w:hAnsi="Arial Narrow"/>
                <w:highlight w:val="yellow"/>
              </w:rPr>
            </w:pPr>
          </w:p>
        </w:tc>
        <w:tc>
          <w:tcPr>
            <w:tcW w:w="5806" w:type="dxa"/>
          </w:tcPr>
          <w:p w14:paraId="7C541F8C" w14:textId="5DF9C228"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w:t>
            </w:r>
            <w:r w:rsidR="008C6F5D">
              <w:rPr>
                <w:rFonts w:ascii="Arial Narrow" w:hAnsi="Arial Narrow"/>
              </w:rPr>
              <w:t xml:space="preserve">HT </w:t>
            </w:r>
            <w:r w:rsidRPr="00F0784C">
              <w:rPr>
                <w:rFonts w:ascii="Arial Narrow" w:hAnsi="Arial Narrow"/>
              </w:rPr>
              <w:t xml:space="preserve">par constat. </w:t>
            </w:r>
          </w:p>
          <w:p w14:paraId="424B3140" w14:textId="594A8E3E"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w:t>
            </w:r>
            <w:r w:rsidR="008C6F5D">
              <w:rPr>
                <w:rFonts w:ascii="Arial Narrow" w:hAnsi="Arial Narrow"/>
              </w:rPr>
              <w:t xml:space="preserve">HT </w:t>
            </w:r>
            <w:r w:rsidRPr="00F0784C">
              <w:rPr>
                <w:rFonts w:ascii="Arial Narrow" w:hAnsi="Arial Narrow"/>
              </w:rPr>
              <w:t xml:space="preserve">par jour de retard sur la mise en œuvre des dispositions nécessaires pour y remédier, à compter du constat du non-respect ou du refus du Titulaire. </w:t>
            </w:r>
          </w:p>
          <w:p w14:paraId="59AD3399"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64A15C22" w14:textId="3CE57F1E" w:rsidR="00012931" w:rsidRPr="00F0784C" w:rsidRDefault="00012931" w:rsidP="008C6F5D">
            <w:pPr>
              <w:tabs>
                <w:tab w:val="center" w:pos="4536"/>
                <w:tab w:val="right" w:pos="9072"/>
              </w:tabs>
              <w:spacing w:line="360" w:lineRule="auto"/>
              <w:jc w:val="both"/>
              <w:rPr>
                <w:rFonts w:ascii="Arial Narrow" w:hAnsi="Arial Narrow"/>
                <w:highlight w:val="yellow"/>
              </w:rPr>
            </w:pPr>
            <w:r w:rsidRPr="00F0784C">
              <w:rPr>
                <w:rFonts w:ascii="Arial Narrow" w:hAnsi="Arial Narrow"/>
              </w:rPr>
              <w:t>Le titulaire s’engage à saisir sans délai le représentant de l’</w:t>
            </w:r>
            <w:r>
              <w:rPr>
                <w:rFonts w:ascii="Arial Narrow" w:hAnsi="Arial Narrow"/>
              </w:rPr>
              <w:t>EPMO-VGE</w:t>
            </w:r>
            <w:r w:rsidRPr="00F0784C">
              <w:rPr>
                <w:rFonts w:ascii="Arial Narrow" w:hAnsi="Arial Narrow"/>
              </w:rPr>
              <w:t xml:space="preserve"> et le CSPS pour tout accident survenant à l’un de ses salariés </w:t>
            </w:r>
            <w:r w:rsidRPr="00F0784C">
              <w:rPr>
                <w:rFonts w:ascii="Arial Narrow" w:hAnsi="Arial Narrow"/>
              </w:rPr>
              <w:lastRenderedPageBreak/>
              <w:t>employés sur le chantier. Tout manquement à cette obligation sera sanctionné par une pénalité de deux cent (200) euros</w:t>
            </w:r>
            <w:r w:rsidR="008C6F5D">
              <w:rPr>
                <w:rFonts w:ascii="Arial Narrow" w:hAnsi="Arial Narrow"/>
              </w:rPr>
              <w:t xml:space="preserve"> HT</w:t>
            </w:r>
            <w:r w:rsidRPr="00F0784C">
              <w:rPr>
                <w:rFonts w:ascii="Arial Narrow" w:hAnsi="Arial Narrow"/>
              </w:rPr>
              <w:t xml:space="preserve"> par manquement constaté.</w:t>
            </w:r>
          </w:p>
        </w:tc>
      </w:tr>
      <w:tr w:rsidR="00012931" w:rsidRPr="00F0784C" w14:paraId="76CAB2DD" w14:textId="77777777" w:rsidTr="00012931">
        <w:tc>
          <w:tcPr>
            <w:tcW w:w="3256" w:type="dxa"/>
          </w:tcPr>
          <w:p w14:paraId="624A8DA9" w14:textId="77777777" w:rsidR="00012931" w:rsidRPr="00F0784C" w:rsidRDefault="00012931" w:rsidP="00012931">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Réfactions pour malfaçons</w:t>
            </w:r>
          </w:p>
          <w:p w14:paraId="612978D0" w14:textId="77777777" w:rsidR="00012931" w:rsidRPr="00F0784C" w:rsidRDefault="00012931" w:rsidP="00012931">
            <w:pPr>
              <w:tabs>
                <w:tab w:val="center" w:pos="4536"/>
                <w:tab w:val="right" w:pos="9072"/>
              </w:tabs>
              <w:spacing w:after="120" w:line="360" w:lineRule="auto"/>
              <w:ind w:left="360"/>
              <w:jc w:val="both"/>
              <w:rPr>
                <w:rFonts w:ascii="Arial Narrow" w:hAnsi="Arial Narrow"/>
              </w:rPr>
            </w:pPr>
          </w:p>
        </w:tc>
        <w:tc>
          <w:tcPr>
            <w:tcW w:w="5806" w:type="dxa"/>
          </w:tcPr>
          <w:p w14:paraId="0F0CBD66" w14:textId="77777777" w:rsidR="00012931" w:rsidRPr="00F0784C" w:rsidRDefault="00012931" w:rsidP="008C6F5D">
            <w:pPr>
              <w:tabs>
                <w:tab w:val="center" w:pos="4536"/>
                <w:tab w:val="right" w:pos="9072"/>
              </w:tabs>
              <w:spacing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CCAG-TVX feront l'objet d'une réfaction provisoire maximale de 15% du montant hors T.V.A. des travaux correspondants, tel qu'il résulte de la décomposition du prix forfaitaire et des sous-détails des prix.</w:t>
            </w:r>
          </w:p>
        </w:tc>
      </w:tr>
      <w:tr w:rsidR="00012931" w:rsidRPr="00F0784C" w14:paraId="139C7B5A" w14:textId="77777777" w:rsidTr="00012931">
        <w:tc>
          <w:tcPr>
            <w:tcW w:w="3256" w:type="dxa"/>
          </w:tcPr>
          <w:p w14:paraId="593CCD0F" w14:textId="77777777" w:rsidR="00012931" w:rsidRPr="00F0784C" w:rsidRDefault="00012931" w:rsidP="008C6F5D">
            <w:pPr>
              <w:tabs>
                <w:tab w:val="center" w:pos="4536"/>
                <w:tab w:val="right" w:pos="9072"/>
              </w:tabs>
              <w:spacing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806" w:type="dxa"/>
          </w:tcPr>
          <w:p w14:paraId="0C938D32" w14:textId="77777777" w:rsidR="00012931" w:rsidRPr="00F0784C" w:rsidRDefault="00012931" w:rsidP="00012931">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19671363"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 xml:space="preserve">Lorsque le titulaire ne se conforme pas aux stipulations du marché ou aux ordres de service, il peut être fait application des mesures coercitives telles que spécifiées à l’article 52 du CCAG-TVX : </w:t>
      </w:r>
    </w:p>
    <w:p w14:paraId="1886B20C" w14:textId="799B4971"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w:t>
      </w:r>
      <w:r w:rsidR="005E63E8">
        <w:rPr>
          <w:rFonts w:ascii="Arial Narrow" w:hAnsi="Arial Narrow"/>
        </w:rPr>
        <w:t xml:space="preserve"> </w:t>
      </w:r>
      <w:r w:rsidRPr="00F0784C">
        <w:rPr>
          <w:rFonts w:ascii="Arial Narrow" w:hAnsi="Arial Narrow"/>
        </w:rPr>
        <w:tab/>
        <w:t>Le maître d’ouvrage peut notifier au titulaire une décision écrite le mettant en demeure de terminer les travaux au plus tard dans le délai fixé dans la décision.</w:t>
      </w:r>
    </w:p>
    <w:p w14:paraId="2531F834" w14:textId="38C2367B" w:rsidR="00043D85"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r>
      <w:r w:rsidR="005E63E8">
        <w:rPr>
          <w:rFonts w:ascii="Arial Narrow" w:hAnsi="Arial Narrow"/>
        </w:rPr>
        <w:t xml:space="preserve"> </w:t>
      </w:r>
      <w:r w:rsidRPr="00F0784C">
        <w:rPr>
          <w:rFonts w:ascii="Arial Narrow" w:hAnsi="Arial Narrow"/>
        </w:rPr>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CCAG-TVX.</w:t>
      </w:r>
    </w:p>
    <w:p w14:paraId="6CAD45E2" w14:textId="77777777" w:rsidR="00F0784C" w:rsidRPr="00546FE0" w:rsidRDefault="00F0784C" w:rsidP="00F0784C">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163CBB03"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8949CF">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295C39AA" w14:textId="235B4FA3" w:rsidR="00FF7F11" w:rsidRPr="00546FE0" w:rsidRDefault="00FF7F11" w:rsidP="00043D85">
      <w:pPr>
        <w:pStyle w:val="En-tte"/>
        <w:spacing w:after="120" w:line="360" w:lineRule="auto"/>
        <w:jc w:val="both"/>
        <w:rPr>
          <w:rFonts w:ascii="Arial Narrow" w:hAnsi="Arial Narrow"/>
        </w:rPr>
      </w:pPr>
      <w:r w:rsidRPr="002B2A40">
        <w:rPr>
          <w:rFonts w:ascii="Arial Narrow" w:hAnsi="Arial Narrow"/>
        </w:rPr>
        <w:t xml:space="preserve">Un DC4 </w:t>
      </w:r>
      <w:proofErr w:type="spellStart"/>
      <w:r w:rsidRPr="002B2A40">
        <w:rPr>
          <w:rFonts w:ascii="Arial Narrow" w:hAnsi="Arial Narrow"/>
        </w:rPr>
        <w:t>prérempli</w:t>
      </w:r>
      <w:proofErr w:type="spellEnd"/>
      <w:r w:rsidRPr="002B2A40">
        <w:rPr>
          <w:rFonts w:ascii="Arial Narrow" w:hAnsi="Arial Narrow"/>
        </w:rPr>
        <w:t xml:space="preserve"> et à jour est joint à l’acte d’engagement.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09A2166E"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w:t>
      </w:r>
      <w:r w:rsidR="008949CF">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076C70A9"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w:t>
      </w:r>
      <w:r w:rsidR="00705A96">
        <w:rPr>
          <w:rFonts w:ascii="Arial Narrow" w:hAnsi="Arial Narrow"/>
        </w:rPr>
        <w:t xml:space="preserve">HT </w:t>
      </w:r>
      <w:r w:rsidRPr="00546FE0">
        <w:rPr>
          <w:rFonts w:ascii="Arial Narrow" w:hAnsi="Arial Narrow"/>
        </w:rPr>
        <w:t xml:space="preserve">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F5110E6"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8949CF">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419CDA02"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8949CF">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BE9B424" w14:textId="38FC1497" w:rsidR="00705A96" w:rsidRDefault="00422159" w:rsidP="00705A96">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8949CF">
        <w:rPr>
          <w:rFonts w:ascii="Arial Narrow" w:hAnsi="Arial Narrow"/>
        </w:rPr>
        <w:t>EPMO-VGE</w:t>
      </w:r>
      <w:r w:rsidRPr="00546FE0">
        <w:rPr>
          <w:rFonts w:ascii="Arial Narrow" w:hAnsi="Arial Narrow"/>
        </w:rPr>
        <w:t>, excepté en cas de faute ou malveillance de celui-ci.</w:t>
      </w:r>
    </w:p>
    <w:p w14:paraId="39AEB03C" w14:textId="62B1EAD8" w:rsidR="00705A96" w:rsidRDefault="00705A96" w:rsidP="00705A96">
      <w:pPr>
        <w:pStyle w:val="En-tte"/>
        <w:spacing w:after="120" w:line="360" w:lineRule="auto"/>
        <w:jc w:val="both"/>
        <w:rPr>
          <w:rFonts w:ascii="Arial Narrow" w:hAnsi="Arial Narrow"/>
        </w:rPr>
      </w:pPr>
    </w:p>
    <w:p w14:paraId="5E8B4120" w14:textId="101EBCA1" w:rsidR="00705A96" w:rsidRDefault="00705A96" w:rsidP="00705A96">
      <w:pPr>
        <w:pStyle w:val="En-tte"/>
        <w:spacing w:after="120" w:line="360" w:lineRule="auto"/>
        <w:jc w:val="both"/>
        <w:rPr>
          <w:rFonts w:ascii="Arial Narrow" w:hAnsi="Arial Narrow"/>
        </w:rPr>
      </w:pPr>
    </w:p>
    <w:p w14:paraId="06373805" w14:textId="52F9D5A4" w:rsidR="00705A96" w:rsidRDefault="00705A96" w:rsidP="00705A96">
      <w:pPr>
        <w:pStyle w:val="En-tte"/>
        <w:spacing w:after="120" w:line="360" w:lineRule="auto"/>
        <w:jc w:val="both"/>
        <w:rPr>
          <w:rFonts w:ascii="Arial Narrow" w:hAnsi="Arial Narrow"/>
        </w:rPr>
      </w:pPr>
    </w:p>
    <w:p w14:paraId="5585C8F2" w14:textId="77777777" w:rsidR="00705A96" w:rsidRPr="00546FE0" w:rsidRDefault="00705A96" w:rsidP="00705A96">
      <w:pPr>
        <w:pStyle w:val="En-tte"/>
        <w:spacing w:after="120" w:line="360" w:lineRule="auto"/>
        <w:jc w:val="both"/>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SITUATION FISCALE ET SOCIALE</w:t>
      </w:r>
    </w:p>
    <w:p w14:paraId="7C2256D5" w14:textId="77777777" w:rsidR="008949CF" w:rsidRPr="00726E74" w:rsidRDefault="008949CF" w:rsidP="008949CF">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0" w:history="1">
        <w:r w:rsidRPr="00726E74">
          <w:rPr>
            <w:rStyle w:val="Lienhypertexte"/>
            <w:rFonts w:ascii="Arial Narrow" w:hAnsi="Arial Narrow"/>
          </w:rPr>
          <w:t>https://www.e-attestations.com/</w:t>
        </w:r>
      </w:hyperlink>
      <w:r w:rsidRPr="00726E74">
        <w:rPr>
          <w:rFonts w:ascii="Arial Narrow" w:hAnsi="Arial Narrow"/>
        </w:rPr>
        <w:t xml:space="preserve"> :</w:t>
      </w:r>
    </w:p>
    <w:p w14:paraId="4C6A1294" w14:textId="77777777" w:rsidR="008949CF" w:rsidRPr="00726E74" w:rsidRDefault="008949CF" w:rsidP="008949C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1C579282" w14:textId="77777777" w:rsidR="008949CF" w:rsidRPr="00726E74" w:rsidRDefault="008949CF" w:rsidP="008949C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669C376D" w14:textId="77777777" w:rsidR="008949CF" w:rsidRDefault="008949CF" w:rsidP="008949CF">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4291A7C4" w14:textId="4BF840CC" w:rsidR="00C92452" w:rsidRDefault="00AD439B" w:rsidP="00B91C85">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8949CF">
        <w:rPr>
          <w:rFonts w:ascii="Arial Narrow" w:hAnsi="Arial Narrow"/>
        </w:rPr>
        <w:t>EPMO-VGE</w:t>
      </w:r>
      <w:r w:rsidRPr="00546FE0">
        <w:rPr>
          <w:rFonts w:ascii="Arial Narrow" w:hAnsi="Arial Narrow"/>
        </w:rPr>
        <w:t>.</w:t>
      </w:r>
    </w:p>
    <w:p w14:paraId="1FE0CDA4" w14:textId="77777777"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604835" w14:textId="77777777" w:rsidR="00B91C85" w:rsidRPr="00F30726" w:rsidRDefault="00B91C85" w:rsidP="00B91C85">
      <w:pPr>
        <w:pStyle w:val="En-tte"/>
        <w:numPr>
          <w:ilvl w:val="0"/>
          <w:numId w:val="45"/>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52BEF15E"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023E945F"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35CE9F3C"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52BF8668"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18942ACF"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73B17AD"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107FE79" w14:textId="77777777" w:rsidR="00B91C85" w:rsidRPr="00F30726" w:rsidRDefault="00B91C85" w:rsidP="00B91C85">
      <w:pPr>
        <w:pStyle w:val="En-tte"/>
        <w:numPr>
          <w:ilvl w:val="0"/>
          <w:numId w:val="4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2ABA2B65"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431F8773" w14:textId="77777777" w:rsidR="00B91C85" w:rsidRPr="00F30726" w:rsidRDefault="00B91C85" w:rsidP="00B91C85">
      <w:pPr>
        <w:pStyle w:val="En-tte"/>
        <w:numPr>
          <w:ilvl w:val="0"/>
          <w:numId w:val="4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B9C303E" w14:textId="77777777" w:rsidR="00B91C85" w:rsidRPr="00F30726" w:rsidRDefault="00B91C85" w:rsidP="00B91C85">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21F37412" w14:textId="77777777" w:rsidR="00B91C85" w:rsidRPr="00F30726" w:rsidRDefault="00B91C85" w:rsidP="00B91C85">
      <w:pPr>
        <w:pStyle w:val="En-tte"/>
        <w:numPr>
          <w:ilvl w:val="0"/>
          <w:numId w:val="4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3B89D33" w14:textId="77777777" w:rsidR="00B91C85" w:rsidRPr="00F30726" w:rsidRDefault="00B91C85" w:rsidP="00B91C85">
      <w:pPr>
        <w:pStyle w:val="En-tte"/>
        <w:numPr>
          <w:ilvl w:val="0"/>
          <w:numId w:val="45"/>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2C736C05" w14:textId="77777777" w:rsidR="00B91C85" w:rsidRPr="00F30726" w:rsidRDefault="00B91C85" w:rsidP="00B91C85">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6303C206" w14:textId="77777777" w:rsidR="00B91C85" w:rsidRPr="00F30726" w:rsidRDefault="00B91C85" w:rsidP="00B91C85">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22374197" w14:textId="77777777" w:rsidR="00B91C85" w:rsidRPr="00F30726" w:rsidRDefault="00B91C85" w:rsidP="00B91C85">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lastRenderedPageBreak/>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3CDBF66D" w14:textId="77777777" w:rsidR="00B91C85" w:rsidRPr="00F30726" w:rsidRDefault="00B91C85" w:rsidP="00B91C85">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30809576" w14:textId="67169707" w:rsidR="00AD439B" w:rsidRDefault="00B91C85" w:rsidP="00B91C85">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l’EPMO-VGE</w:t>
      </w:r>
      <w:r w:rsidRPr="00F30726">
        <w:rPr>
          <w:rFonts w:ascii="Arial Narrow" w:hAnsi="Arial Narrow"/>
        </w:rPr>
        <w:t xml:space="preserve"> prononce la résiliation du contrat pour faute du titulaire, selon les modalités défin</w:t>
      </w:r>
      <w:r>
        <w:rPr>
          <w:rFonts w:ascii="Arial Narrow" w:hAnsi="Arial Narrow"/>
        </w:rPr>
        <w:t>ies à l’article 41.1 du CCAG-FCS</w:t>
      </w:r>
      <w:r w:rsidRPr="00F30726">
        <w:rPr>
          <w:rFonts w:ascii="Arial Narrow" w:hAnsi="Arial Narrow"/>
        </w:rPr>
        <w:t>. L’</w:t>
      </w:r>
      <w:r>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l’EPMO-VGE</w:t>
      </w:r>
      <w:r w:rsidRPr="00F30726">
        <w:rPr>
          <w:rFonts w:ascii="Arial Narrow" w:hAnsi="Arial Narrow"/>
        </w:rPr>
        <w:t xml:space="preserve"> prononce la résiliation pour faute du contrat. La résiliation est prononcée aux frais et risques du titulaire conformément à l’article </w:t>
      </w:r>
      <w:r>
        <w:rPr>
          <w:rFonts w:ascii="Arial Narrow" w:hAnsi="Arial Narrow"/>
        </w:rPr>
        <w:t>41.1</w:t>
      </w:r>
      <w:r w:rsidRPr="00F30726">
        <w:rPr>
          <w:rFonts w:ascii="Arial Narrow" w:hAnsi="Arial Narrow"/>
        </w:rPr>
        <w:t xml:space="preserve"> du CCAG-</w:t>
      </w:r>
      <w:r>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420A3055" w14:textId="77777777" w:rsidR="00B91C85" w:rsidRPr="00546FE0" w:rsidRDefault="00B91C85"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1F2600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8949CF">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6E6F5450" w:rsidR="00AD439B" w:rsidRPr="00546FE0" w:rsidRDefault="00AD439B" w:rsidP="0019110A">
      <w:pPr>
        <w:pStyle w:val="En-tte"/>
        <w:spacing w:line="360" w:lineRule="auto"/>
        <w:jc w:val="both"/>
        <w:rPr>
          <w:rFonts w:ascii="Arial Narrow" w:hAnsi="Arial Narrow"/>
        </w:rPr>
      </w:pPr>
      <w:r w:rsidRPr="00546FE0">
        <w:rPr>
          <w:rFonts w:ascii="Arial Narrow" w:hAnsi="Arial Narrow"/>
        </w:rPr>
        <w:t>L'</w:t>
      </w:r>
      <w:r w:rsidR="008949CF">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7EA354A7" w14:textId="77777777" w:rsidR="00AD439B" w:rsidRPr="00546FE0" w:rsidRDefault="00AD439B" w:rsidP="0019110A">
      <w:pPr>
        <w:pStyle w:val="En-tte"/>
        <w:spacing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09B1B5C5" w14:textId="6FDCC461" w:rsidR="00DB26DA" w:rsidRDefault="00DB26DA" w:rsidP="00165639">
      <w:pPr>
        <w:pStyle w:val="En-tte"/>
        <w:spacing w:after="120" w:line="360" w:lineRule="auto"/>
        <w:jc w:val="both"/>
        <w:rPr>
          <w:rFonts w:ascii="Arial Narrow" w:hAnsi="Arial Narrow"/>
        </w:rPr>
      </w:pPr>
      <w:r w:rsidRPr="00DB26DA">
        <w:rPr>
          <w:rFonts w:ascii="Arial Narrow" w:hAnsi="Arial Narrow"/>
        </w:rPr>
        <w:t xml:space="preserve">L’article </w:t>
      </w:r>
      <w:r w:rsidR="00C4447F">
        <w:rPr>
          <w:rFonts w:ascii="Arial Narrow" w:hAnsi="Arial Narrow"/>
        </w:rPr>
        <w:t>5</w:t>
      </w:r>
      <w:r w:rsidRPr="00DB26DA">
        <w:rPr>
          <w:rFonts w:ascii="Arial Narrow" w:hAnsi="Arial Narrow"/>
        </w:rPr>
        <w:t xml:space="preserve"> (</w:t>
      </w:r>
      <w:r>
        <w:rPr>
          <w:rFonts w:ascii="Arial Narrow" w:hAnsi="Arial Narrow"/>
        </w:rPr>
        <w:t>période de préparation</w:t>
      </w:r>
      <w:r w:rsidRPr="00DB26DA">
        <w:rPr>
          <w:rFonts w:ascii="Arial Narrow" w:hAnsi="Arial Narrow"/>
        </w:rPr>
        <w:t xml:space="preserve">) du présent document déroge à l’article </w:t>
      </w:r>
      <w:r w:rsidR="00B91C85">
        <w:rPr>
          <w:rFonts w:ascii="Arial Narrow" w:hAnsi="Arial Narrow"/>
        </w:rPr>
        <w:t>28.1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0B369C0E" w14:textId="126AE4C4" w:rsidR="008E52F4" w:rsidRDefault="008E52F4" w:rsidP="008E52F4">
      <w:pPr>
        <w:pStyle w:val="En-tte"/>
        <w:spacing w:after="120" w:line="360" w:lineRule="auto"/>
        <w:jc w:val="both"/>
        <w:rPr>
          <w:rFonts w:ascii="Arial Narrow" w:hAnsi="Arial Narrow"/>
        </w:rPr>
      </w:pPr>
      <w:r w:rsidRPr="00DB26DA">
        <w:rPr>
          <w:rFonts w:ascii="Arial Narrow" w:hAnsi="Arial Narrow"/>
        </w:rPr>
        <w:t xml:space="preserve">L’article </w:t>
      </w:r>
      <w:r w:rsidR="0019110A">
        <w:rPr>
          <w:rFonts w:ascii="Arial Narrow" w:hAnsi="Arial Narrow"/>
        </w:rPr>
        <w:t>8</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5070207C" w14:textId="6415137A" w:rsidR="00AD439B" w:rsidRPr="00546FE0" w:rsidRDefault="008C78E1" w:rsidP="00AF7713">
      <w:pPr>
        <w:pStyle w:val="En-tte"/>
        <w:spacing w:after="120" w:line="360" w:lineRule="auto"/>
        <w:jc w:val="both"/>
        <w:rPr>
          <w:rFonts w:ascii="Arial Narrow" w:hAnsi="Arial Narrow"/>
        </w:rPr>
      </w:pPr>
      <w:r>
        <w:rPr>
          <w:rFonts w:ascii="Arial Narrow" w:hAnsi="Arial Narrow"/>
        </w:rPr>
        <w:t>L'article 17</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w:t>
      </w:r>
      <w:r w:rsidRPr="008C78E1">
        <w:rPr>
          <w:rFonts w:ascii="Arial Narrow" w:hAnsi="Arial Narrow"/>
        </w:rPr>
        <w:t xml:space="preserve">l’article 19.2.4 </w:t>
      </w:r>
      <w:r w:rsidRPr="00546FE0">
        <w:rPr>
          <w:rFonts w:ascii="Arial Narrow" w:hAnsi="Arial Narrow"/>
        </w:rPr>
        <w:t>du CCAG-</w:t>
      </w:r>
      <w:r>
        <w:rPr>
          <w:rFonts w:ascii="Arial Narrow" w:hAnsi="Arial Narrow"/>
        </w:rPr>
        <w:t>TVX</w:t>
      </w:r>
      <w:r w:rsidRPr="00546FE0">
        <w:rPr>
          <w:rFonts w:ascii="Arial Narrow" w:hAnsi="Arial Narrow"/>
        </w:rPr>
        <w:t>.</w:t>
      </w: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4F1F85" w:rsidRDefault="004F1F85" w:rsidP="00E42FF3">
      <w:pPr>
        <w:spacing w:after="0" w:line="240" w:lineRule="auto"/>
      </w:pPr>
      <w:r>
        <w:separator/>
      </w:r>
    </w:p>
  </w:endnote>
  <w:endnote w:type="continuationSeparator" w:id="0">
    <w:p w14:paraId="7E7CC525" w14:textId="77777777" w:rsidR="004F1F85" w:rsidRDefault="004F1F8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7AD447F" w:rsidR="004F1F85" w:rsidRDefault="004F1F85">
        <w:pPr>
          <w:pStyle w:val="Pieddepage"/>
          <w:jc w:val="right"/>
        </w:pPr>
        <w:r>
          <w:fldChar w:fldCharType="begin"/>
        </w:r>
        <w:r>
          <w:instrText>PAGE   \* MERGEFORMAT</w:instrText>
        </w:r>
        <w:r>
          <w:fldChar w:fldCharType="separate"/>
        </w:r>
        <w:r w:rsidR="002F1E07">
          <w:rPr>
            <w:noProof/>
          </w:rPr>
          <w:t>20</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4F1F85" w:rsidRDefault="004F1F85" w:rsidP="00E42FF3">
      <w:pPr>
        <w:spacing w:after="0" w:line="240" w:lineRule="auto"/>
      </w:pPr>
      <w:r>
        <w:separator/>
      </w:r>
    </w:p>
  </w:footnote>
  <w:footnote w:type="continuationSeparator" w:id="0">
    <w:p w14:paraId="32902BFF" w14:textId="77777777" w:rsidR="004F1F85" w:rsidRDefault="004F1F8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A511C7"/>
    <w:multiLevelType w:val="multilevel"/>
    <w:tmpl w:val="741CC08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8B69BB"/>
    <w:multiLevelType w:val="hybridMultilevel"/>
    <w:tmpl w:val="F7F2A57A"/>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47209C"/>
    <w:multiLevelType w:val="multilevel"/>
    <w:tmpl w:val="6E88DEC8"/>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7"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F2337A"/>
    <w:multiLevelType w:val="hybridMultilevel"/>
    <w:tmpl w:val="31F03472"/>
    <w:lvl w:ilvl="0" w:tplc="964ED38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8852741"/>
    <w:multiLevelType w:val="multilevel"/>
    <w:tmpl w:val="615A18C6"/>
    <w:lvl w:ilvl="0">
      <w:start w:val="1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2"/>
  </w:num>
  <w:num w:numId="2">
    <w:abstractNumId w:val="5"/>
  </w:num>
  <w:num w:numId="3">
    <w:abstractNumId w:val="38"/>
  </w:num>
  <w:num w:numId="4">
    <w:abstractNumId w:val="6"/>
  </w:num>
  <w:num w:numId="5">
    <w:abstractNumId w:val="29"/>
  </w:num>
  <w:num w:numId="6">
    <w:abstractNumId w:val="1"/>
  </w:num>
  <w:num w:numId="7">
    <w:abstractNumId w:val="36"/>
  </w:num>
  <w:num w:numId="8">
    <w:abstractNumId w:val="30"/>
  </w:num>
  <w:num w:numId="9">
    <w:abstractNumId w:val="16"/>
  </w:num>
  <w:num w:numId="10">
    <w:abstractNumId w:val="33"/>
  </w:num>
  <w:num w:numId="11">
    <w:abstractNumId w:val="2"/>
  </w:num>
  <w:num w:numId="12">
    <w:abstractNumId w:val="35"/>
  </w:num>
  <w:num w:numId="13">
    <w:abstractNumId w:val="31"/>
  </w:num>
  <w:num w:numId="14">
    <w:abstractNumId w:val="27"/>
  </w:num>
  <w:num w:numId="15">
    <w:abstractNumId w:val="34"/>
  </w:num>
  <w:num w:numId="16">
    <w:abstractNumId w:val="43"/>
  </w:num>
  <w:num w:numId="17">
    <w:abstractNumId w:val="7"/>
  </w:num>
  <w:num w:numId="18">
    <w:abstractNumId w:val="39"/>
  </w:num>
  <w:num w:numId="19">
    <w:abstractNumId w:val="28"/>
  </w:num>
  <w:num w:numId="20">
    <w:abstractNumId w:val="9"/>
  </w:num>
  <w:num w:numId="21">
    <w:abstractNumId w:val="32"/>
  </w:num>
  <w:num w:numId="22">
    <w:abstractNumId w:val="0"/>
  </w:num>
  <w:num w:numId="23">
    <w:abstractNumId w:val="8"/>
  </w:num>
  <w:num w:numId="24">
    <w:abstractNumId w:val="17"/>
  </w:num>
  <w:num w:numId="25">
    <w:abstractNumId w:val="40"/>
  </w:num>
  <w:num w:numId="26">
    <w:abstractNumId w:val="24"/>
  </w:num>
  <w:num w:numId="27">
    <w:abstractNumId w:val="15"/>
  </w:num>
  <w:num w:numId="28">
    <w:abstractNumId w:val="20"/>
  </w:num>
  <w:num w:numId="29">
    <w:abstractNumId w:val="22"/>
  </w:num>
  <w:num w:numId="30">
    <w:abstractNumId w:val="3"/>
  </w:num>
  <w:num w:numId="31">
    <w:abstractNumId w:val="18"/>
  </w:num>
  <w:num w:numId="32">
    <w:abstractNumId w:val="25"/>
  </w:num>
  <w:num w:numId="33">
    <w:abstractNumId w:val="19"/>
  </w:num>
  <w:num w:numId="34">
    <w:abstractNumId w:val="41"/>
  </w:num>
  <w:num w:numId="35">
    <w:abstractNumId w:val="4"/>
  </w:num>
  <w:num w:numId="36">
    <w:abstractNumId w:val="21"/>
  </w:num>
  <w:num w:numId="37">
    <w:abstractNumId w:val="26"/>
  </w:num>
  <w:num w:numId="38">
    <w:abstractNumId w:val="10"/>
  </w:num>
  <w:num w:numId="39">
    <w:abstractNumId w:val="23"/>
  </w:num>
  <w:num w:numId="40">
    <w:abstractNumId w:val="44"/>
  </w:num>
  <w:num w:numId="41">
    <w:abstractNumId w:val="11"/>
  </w:num>
  <w:num w:numId="42">
    <w:abstractNumId w:val="37"/>
  </w:num>
  <w:num w:numId="43">
    <w:abstractNumId w:val="14"/>
  </w:num>
  <w:num w:numId="44">
    <w:abstractNumId w:val="13"/>
  </w:num>
  <w:num w:numId="4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2931"/>
    <w:rsid w:val="0002039E"/>
    <w:rsid w:val="0002717A"/>
    <w:rsid w:val="00030F3A"/>
    <w:rsid w:val="00040E71"/>
    <w:rsid w:val="00043D85"/>
    <w:rsid w:val="0004519F"/>
    <w:rsid w:val="00051022"/>
    <w:rsid w:val="00054FBE"/>
    <w:rsid w:val="0006022E"/>
    <w:rsid w:val="000623F6"/>
    <w:rsid w:val="00090BEA"/>
    <w:rsid w:val="000B34BB"/>
    <w:rsid w:val="000B3B70"/>
    <w:rsid w:val="000B52E8"/>
    <w:rsid w:val="000B7422"/>
    <w:rsid w:val="000C0FBC"/>
    <w:rsid w:val="000C10A2"/>
    <w:rsid w:val="000C6DA8"/>
    <w:rsid w:val="000D0217"/>
    <w:rsid w:val="000D06AD"/>
    <w:rsid w:val="000D317C"/>
    <w:rsid w:val="000E0A04"/>
    <w:rsid w:val="000E52A9"/>
    <w:rsid w:val="000E7740"/>
    <w:rsid w:val="000F6D9C"/>
    <w:rsid w:val="00100BDE"/>
    <w:rsid w:val="00102532"/>
    <w:rsid w:val="00106DDC"/>
    <w:rsid w:val="001201AF"/>
    <w:rsid w:val="00130689"/>
    <w:rsid w:val="00130937"/>
    <w:rsid w:val="0014540C"/>
    <w:rsid w:val="00150596"/>
    <w:rsid w:val="001616A9"/>
    <w:rsid w:val="00165639"/>
    <w:rsid w:val="00180990"/>
    <w:rsid w:val="0019110A"/>
    <w:rsid w:val="001A38BC"/>
    <w:rsid w:val="001B44CB"/>
    <w:rsid w:val="001B4DBC"/>
    <w:rsid w:val="001D209F"/>
    <w:rsid w:val="001E24A7"/>
    <w:rsid w:val="001F4A59"/>
    <w:rsid w:val="001F6E69"/>
    <w:rsid w:val="001F7232"/>
    <w:rsid w:val="002046FC"/>
    <w:rsid w:val="002144DD"/>
    <w:rsid w:val="002218A3"/>
    <w:rsid w:val="002334E4"/>
    <w:rsid w:val="0023503B"/>
    <w:rsid w:val="0024335F"/>
    <w:rsid w:val="00245388"/>
    <w:rsid w:val="0025246C"/>
    <w:rsid w:val="00257918"/>
    <w:rsid w:val="00261EEE"/>
    <w:rsid w:val="00262E67"/>
    <w:rsid w:val="00264E15"/>
    <w:rsid w:val="002719AE"/>
    <w:rsid w:val="00271A97"/>
    <w:rsid w:val="002B10AD"/>
    <w:rsid w:val="002B2148"/>
    <w:rsid w:val="002B29A3"/>
    <w:rsid w:val="002B2A40"/>
    <w:rsid w:val="002C1FA1"/>
    <w:rsid w:val="002C5191"/>
    <w:rsid w:val="002D6143"/>
    <w:rsid w:val="002E4166"/>
    <w:rsid w:val="002F1E07"/>
    <w:rsid w:val="002F4374"/>
    <w:rsid w:val="0030422B"/>
    <w:rsid w:val="00314364"/>
    <w:rsid w:val="00321AD1"/>
    <w:rsid w:val="0032637F"/>
    <w:rsid w:val="00332820"/>
    <w:rsid w:val="00347265"/>
    <w:rsid w:val="00350E5F"/>
    <w:rsid w:val="00360E50"/>
    <w:rsid w:val="00367714"/>
    <w:rsid w:val="003765CC"/>
    <w:rsid w:val="00376A8E"/>
    <w:rsid w:val="0039712F"/>
    <w:rsid w:val="003978C9"/>
    <w:rsid w:val="003A3C44"/>
    <w:rsid w:val="003A523F"/>
    <w:rsid w:val="003A5F8F"/>
    <w:rsid w:val="003B6591"/>
    <w:rsid w:val="003C406F"/>
    <w:rsid w:val="003C4F7F"/>
    <w:rsid w:val="003D7C03"/>
    <w:rsid w:val="003E6575"/>
    <w:rsid w:val="003F3420"/>
    <w:rsid w:val="003F34B3"/>
    <w:rsid w:val="003F5F33"/>
    <w:rsid w:val="00403F4D"/>
    <w:rsid w:val="00422159"/>
    <w:rsid w:val="00426B67"/>
    <w:rsid w:val="004302A7"/>
    <w:rsid w:val="0046738A"/>
    <w:rsid w:val="004673F7"/>
    <w:rsid w:val="00470284"/>
    <w:rsid w:val="00471EBA"/>
    <w:rsid w:val="00482879"/>
    <w:rsid w:val="0048725C"/>
    <w:rsid w:val="00495347"/>
    <w:rsid w:val="004A157C"/>
    <w:rsid w:val="004A5A73"/>
    <w:rsid w:val="004C5CF1"/>
    <w:rsid w:val="004D0CF2"/>
    <w:rsid w:val="004D156F"/>
    <w:rsid w:val="004D443D"/>
    <w:rsid w:val="004F00ED"/>
    <w:rsid w:val="004F1F85"/>
    <w:rsid w:val="004F429E"/>
    <w:rsid w:val="00505915"/>
    <w:rsid w:val="0050621E"/>
    <w:rsid w:val="0051770A"/>
    <w:rsid w:val="00524389"/>
    <w:rsid w:val="005329C1"/>
    <w:rsid w:val="00534A25"/>
    <w:rsid w:val="005413BD"/>
    <w:rsid w:val="005418B2"/>
    <w:rsid w:val="00546FE0"/>
    <w:rsid w:val="00561425"/>
    <w:rsid w:val="005625C3"/>
    <w:rsid w:val="005706E9"/>
    <w:rsid w:val="00571D19"/>
    <w:rsid w:val="00587705"/>
    <w:rsid w:val="00593CA0"/>
    <w:rsid w:val="00596EEE"/>
    <w:rsid w:val="005B11C8"/>
    <w:rsid w:val="005B6E04"/>
    <w:rsid w:val="005D1A2E"/>
    <w:rsid w:val="005D555E"/>
    <w:rsid w:val="005D6D22"/>
    <w:rsid w:val="005E520A"/>
    <w:rsid w:val="005E63A7"/>
    <w:rsid w:val="005E63E8"/>
    <w:rsid w:val="005F0AAC"/>
    <w:rsid w:val="005F1D51"/>
    <w:rsid w:val="00603C9C"/>
    <w:rsid w:val="00603DD0"/>
    <w:rsid w:val="00631D66"/>
    <w:rsid w:val="0064097D"/>
    <w:rsid w:val="00641175"/>
    <w:rsid w:val="006465DC"/>
    <w:rsid w:val="006528A6"/>
    <w:rsid w:val="00662697"/>
    <w:rsid w:val="00666DD5"/>
    <w:rsid w:val="00685B99"/>
    <w:rsid w:val="006A3A08"/>
    <w:rsid w:val="006A63E0"/>
    <w:rsid w:val="006A67D6"/>
    <w:rsid w:val="006C0230"/>
    <w:rsid w:val="006E2D9A"/>
    <w:rsid w:val="006F0B57"/>
    <w:rsid w:val="006F1D12"/>
    <w:rsid w:val="00705A96"/>
    <w:rsid w:val="007079A1"/>
    <w:rsid w:val="007221BF"/>
    <w:rsid w:val="007258AA"/>
    <w:rsid w:val="00730045"/>
    <w:rsid w:val="007325FD"/>
    <w:rsid w:val="00732D34"/>
    <w:rsid w:val="007639B4"/>
    <w:rsid w:val="007663CD"/>
    <w:rsid w:val="007667EA"/>
    <w:rsid w:val="007A0028"/>
    <w:rsid w:val="007A0642"/>
    <w:rsid w:val="007B2604"/>
    <w:rsid w:val="007B269E"/>
    <w:rsid w:val="007D0BC8"/>
    <w:rsid w:val="007D159B"/>
    <w:rsid w:val="007E5415"/>
    <w:rsid w:val="00806AEF"/>
    <w:rsid w:val="00806E82"/>
    <w:rsid w:val="0081396B"/>
    <w:rsid w:val="00823E21"/>
    <w:rsid w:val="008350BF"/>
    <w:rsid w:val="00836C55"/>
    <w:rsid w:val="00837E87"/>
    <w:rsid w:val="00846D60"/>
    <w:rsid w:val="00870959"/>
    <w:rsid w:val="0088306B"/>
    <w:rsid w:val="0088600A"/>
    <w:rsid w:val="00886615"/>
    <w:rsid w:val="00886A9B"/>
    <w:rsid w:val="00891111"/>
    <w:rsid w:val="00891B1A"/>
    <w:rsid w:val="008949CF"/>
    <w:rsid w:val="008A6C5C"/>
    <w:rsid w:val="008B6960"/>
    <w:rsid w:val="008C59DA"/>
    <w:rsid w:val="008C6F5D"/>
    <w:rsid w:val="008C78E1"/>
    <w:rsid w:val="008E52F4"/>
    <w:rsid w:val="008E7F70"/>
    <w:rsid w:val="008F18DD"/>
    <w:rsid w:val="00904D87"/>
    <w:rsid w:val="00905D5B"/>
    <w:rsid w:val="009069EE"/>
    <w:rsid w:val="00910D6B"/>
    <w:rsid w:val="009122D3"/>
    <w:rsid w:val="009146C4"/>
    <w:rsid w:val="009176EA"/>
    <w:rsid w:val="0092074E"/>
    <w:rsid w:val="009330AA"/>
    <w:rsid w:val="009352BD"/>
    <w:rsid w:val="009554D5"/>
    <w:rsid w:val="00965530"/>
    <w:rsid w:val="0096665B"/>
    <w:rsid w:val="00983998"/>
    <w:rsid w:val="00984749"/>
    <w:rsid w:val="00986919"/>
    <w:rsid w:val="00990731"/>
    <w:rsid w:val="009C1992"/>
    <w:rsid w:val="009C6FC0"/>
    <w:rsid w:val="009C7DEE"/>
    <w:rsid w:val="009D63CC"/>
    <w:rsid w:val="00A00204"/>
    <w:rsid w:val="00A02B17"/>
    <w:rsid w:val="00A118F1"/>
    <w:rsid w:val="00A15D9F"/>
    <w:rsid w:val="00A15E81"/>
    <w:rsid w:val="00A24DDE"/>
    <w:rsid w:val="00A322A5"/>
    <w:rsid w:val="00A32AE4"/>
    <w:rsid w:val="00A36D77"/>
    <w:rsid w:val="00A572A6"/>
    <w:rsid w:val="00A57CB4"/>
    <w:rsid w:val="00A66F84"/>
    <w:rsid w:val="00A7568E"/>
    <w:rsid w:val="00A77BDF"/>
    <w:rsid w:val="00A86B84"/>
    <w:rsid w:val="00A87BBE"/>
    <w:rsid w:val="00A94EDC"/>
    <w:rsid w:val="00A95517"/>
    <w:rsid w:val="00AA3E07"/>
    <w:rsid w:val="00AA6E3F"/>
    <w:rsid w:val="00AB26FC"/>
    <w:rsid w:val="00AB41B2"/>
    <w:rsid w:val="00AC7DD0"/>
    <w:rsid w:val="00AD439B"/>
    <w:rsid w:val="00AF217D"/>
    <w:rsid w:val="00AF7289"/>
    <w:rsid w:val="00AF7713"/>
    <w:rsid w:val="00B17100"/>
    <w:rsid w:val="00B2714E"/>
    <w:rsid w:val="00B42ED3"/>
    <w:rsid w:val="00B50A8E"/>
    <w:rsid w:val="00B52B09"/>
    <w:rsid w:val="00B76727"/>
    <w:rsid w:val="00B76C4A"/>
    <w:rsid w:val="00B77CCD"/>
    <w:rsid w:val="00B91C85"/>
    <w:rsid w:val="00BB05AC"/>
    <w:rsid w:val="00BD6430"/>
    <w:rsid w:val="00BF79A7"/>
    <w:rsid w:val="00C0489A"/>
    <w:rsid w:val="00C05220"/>
    <w:rsid w:val="00C23DEA"/>
    <w:rsid w:val="00C37C04"/>
    <w:rsid w:val="00C412C6"/>
    <w:rsid w:val="00C4447F"/>
    <w:rsid w:val="00C47AC9"/>
    <w:rsid w:val="00C621CE"/>
    <w:rsid w:val="00C7088F"/>
    <w:rsid w:val="00C92452"/>
    <w:rsid w:val="00C97D54"/>
    <w:rsid w:val="00CC605C"/>
    <w:rsid w:val="00CE4A76"/>
    <w:rsid w:val="00CF45C2"/>
    <w:rsid w:val="00D127EF"/>
    <w:rsid w:val="00D12898"/>
    <w:rsid w:val="00D17E86"/>
    <w:rsid w:val="00D32F62"/>
    <w:rsid w:val="00D349F1"/>
    <w:rsid w:val="00D524F5"/>
    <w:rsid w:val="00D637C9"/>
    <w:rsid w:val="00D72FEE"/>
    <w:rsid w:val="00D86150"/>
    <w:rsid w:val="00D9355E"/>
    <w:rsid w:val="00DB0513"/>
    <w:rsid w:val="00DB26DA"/>
    <w:rsid w:val="00DB7A14"/>
    <w:rsid w:val="00DC2FA3"/>
    <w:rsid w:val="00DD2383"/>
    <w:rsid w:val="00DD7AF5"/>
    <w:rsid w:val="00DE5088"/>
    <w:rsid w:val="00DF6459"/>
    <w:rsid w:val="00E05C5A"/>
    <w:rsid w:val="00E13104"/>
    <w:rsid w:val="00E223C5"/>
    <w:rsid w:val="00E238AB"/>
    <w:rsid w:val="00E42FF3"/>
    <w:rsid w:val="00E657AB"/>
    <w:rsid w:val="00E86FA0"/>
    <w:rsid w:val="00EC2356"/>
    <w:rsid w:val="00EC6141"/>
    <w:rsid w:val="00ED558B"/>
    <w:rsid w:val="00EE0297"/>
    <w:rsid w:val="00EE4C36"/>
    <w:rsid w:val="00EE65EC"/>
    <w:rsid w:val="00EF2CB7"/>
    <w:rsid w:val="00F00B40"/>
    <w:rsid w:val="00F03BF9"/>
    <w:rsid w:val="00F065F4"/>
    <w:rsid w:val="00F0784C"/>
    <w:rsid w:val="00F369DF"/>
    <w:rsid w:val="00F441CF"/>
    <w:rsid w:val="00F449D9"/>
    <w:rsid w:val="00F60016"/>
    <w:rsid w:val="00F6320E"/>
    <w:rsid w:val="00F66C71"/>
    <w:rsid w:val="00F73F80"/>
    <w:rsid w:val="00F74527"/>
    <w:rsid w:val="00F802CE"/>
    <w:rsid w:val="00F81A7B"/>
    <w:rsid w:val="00F83528"/>
    <w:rsid w:val="00FA736D"/>
    <w:rsid w:val="00FC4A03"/>
    <w:rsid w:val="00FC4E35"/>
    <w:rsid w:val="00FD0446"/>
    <w:rsid w:val="00FE5C8C"/>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D127EF"/>
    <w:pPr>
      <w:widowControl w:val="0"/>
      <w:spacing w:before="160" w:after="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D127EF"/>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72108535">
      <w:bodyDiv w:val="1"/>
      <w:marLeft w:val="0"/>
      <w:marRight w:val="0"/>
      <w:marTop w:val="0"/>
      <w:marBottom w:val="0"/>
      <w:divBdr>
        <w:top w:val="none" w:sz="0" w:space="0" w:color="auto"/>
        <w:left w:val="none" w:sz="0" w:space="0" w:color="auto"/>
        <w:bottom w:val="none" w:sz="0" w:space="0" w:color="auto"/>
        <w:right w:val="none" w:sz="0" w:space="0" w:color="auto"/>
      </w:divBdr>
    </w:div>
    <w:div w:id="130851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80748F"/>
    <w:rsid w:val="00864732"/>
    <w:rsid w:val="009E2391"/>
    <w:rsid w:val="00A3148D"/>
    <w:rsid w:val="00AC31B5"/>
    <w:rsid w:val="00AF1EE1"/>
    <w:rsid w:val="00B14DD2"/>
    <w:rsid w:val="00B90D7C"/>
    <w:rsid w:val="00C55B1B"/>
    <w:rsid w:val="00C60EC9"/>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DA550-3A94-4512-BB85-7A4E5FFD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20</Pages>
  <Words>7004</Words>
  <Characters>38525</Characters>
  <Application>Microsoft Office Word</Application>
  <DocSecurity>0</DocSecurity>
  <Lines>321</Lines>
  <Paragraphs>90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33</cp:revision>
  <dcterms:created xsi:type="dcterms:W3CDTF">2025-03-21T13:43:00Z</dcterms:created>
  <dcterms:modified xsi:type="dcterms:W3CDTF">2025-06-24T08:00:00Z</dcterms:modified>
</cp:coreProperties>
</file>